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F7234" w14:textId="74EF7234" w:rsidR="36CD0169" w:rsidRPr="005E1B90" w:rsidRDefault="36CD0169" w:rsidP="36CD0169">
      <w:pPr>
        <w:pStyle w:val="NormlWeb"/>
        <w:jc w:val="both"/>
        <w:rPr>
          <w:lang w:val="en-GB"/>
        </w:rPr>
      </w:pPr>
    </w:p>
    <w:p w14:paraId="245033F0" w14:textId="68A5AE75" w:rsidR="36CD0169" w:rsidRDefault="00CC6FB8" w:rsidP="36CD0169">
      <w:pPr>
        <w:jc w:val="both"/>
        <w:rPr>
          <w:rFonts w:cstheme="minorHAnsi"/>
          <w:b/>
          <w:bCs/>
          <w:sz w:val="28"/>
          <w:szCs w:val="28"/>
          <w:u w:val="single"/>
          <w:lang w:val="en-GB"/>
        </w:rPr>
      </w:pPr>
      <w:r w:rsidRPr="005E1B90">
        <w:rPr>
          <w:rFonts w:cstheme="minorHAnsi"/>
          <w:b/>
          <w:bCs/>
          <w:sz w:val="28"/>
          <w:szCs w:val="28"/>
          <w:u w:val="single"/>
          <w:lang w:val="en-GB"/>
        </w:rPr>
        <w:t>DE-AT-PL-4M MC Project (Interim Coupling)</w:t>
      </w:r>
    </w:p>
    <w:p w14:paraId="3722A7C7" w14:textId="6E6FE2EA" w:rsidR="00EE6D1E" w:rsidRPr="00AB21E6" w:rsidRDefault="00EE6D1E" w:rsidP="36CD0169">
      <w:pPr>
        <w:jc w:val="both"/>
        <w:rPr>
          <w:rFonts w:cstheme="minorHAnsi"/>
          <w:b/>
          <w:bCs/>
          <w:sz w:val="24"/>
          <w:szCs w:val="28"/>
          <w:lang w:val="en-GB"/>
        </w:rPr>
      </w:pPr>
      <w:r w:rsidRPr="00AB21E6">
        <w:rPr>
          <w:rFonts w:cstheme="minorHAnsi"/>
          <w:b/>
          <w:bCs/>
          <w:sz w:val="24"/>
          <w:szCs w:val="28"/>
          <w:lang w:val="en-GB"/>
        </w:rPr>
        <w:t xml:space="preserve">Published in </w:t>
      </w:r>
      <w:r w:rsidR="00712E26">
        <w:rPr>
          <w:rFonts w:cstheme="minorHAnsi"/>
          <w:b/>
          <w:bCs/>
          <w:sz w:val="24"/>
          <w:szCs w:val="28"/>
          <w:lang w:val="en-GB"/>
        </w:rPr>
        <w:t>March 2020</w:t>
      </w:r>
    </w:p>
    <w:p w14:paraId="404BA9B4" w14:textId="424F4830" w:rsidR="00C931E0" w:rsidRDefault="0092167D" w:rsidP="36CD0169">
      <w:pPr>
        <w:jc w:val="both"/>
        <w:rPr>
          <w:rFonts w:cstheme="minorHAnsi"/>
          <w:b/>
          <w:bCs/>
          <w:lang w:val="en-GB"/>
        </w:rPr>
      </w:pPr>
      <w:r w:rsidRPr="00AB21E6">
        <w:rPr>
          <w:rFonts w:cstheme="minorHAnsi"/>
          <w:b/>
          <w:bCs/>
          <w:lang w:val="en-GB"/>
        </w:rPr>
        <w:t>Purpose of this document</w:t>
      </w:r>
    </w:p>
    <w:p w14:paraId="76912629" w14:textId="4E7293A7" w:rsidR="0092167D" w:rsidRPr="00AB21E6" w:rsidRDefault="0092167D" w:rsidP="006C18A4">
      <w:pPr>
        <w:spacing w:after="240"/>
        <w:jc w:val="both"/>
        <w:rPr>
          <w:rFonts w:cstheme="minorHAnsi"/>
          <w:lang w:val="en-GB"/>
        </w:rPr>
      </w:pPr>
      <w:r w:rsidRPr="00AB21E6">
        <w:rPr>
          <w:rFonts w:cstheme="minorHAnsi"/>
          <w:lang w:val="en-GB"/>
        </w:rPr>
        <w:t xml:space="preserve">This document </w:t>
      </w:r>
      <w:r w:rsidR="00AB21E6" w:rsidRPr="00AB21E6">
        <w:rPr>
          <w:rFonts w:cstheme="minorHAnsi"/>
          <w:lang w:val="en-GB"/>
        </w:rPr>
        <w:t>summarizes</w:t>
      </w:r>
      <w:r w:rsidRPr="00AB21E6">
        <w:rPr>
          <w:rFonts w:cstheme="minorHAnsi"/>
          <w:lang w:val="en-GB"/>
        </w:rPr>
        <w:t xml:space="preserve"> the </w:t>
      </w:r>
      <w:r w:rsidR="00994F9B">
        <w:rPr>
          <w:rFonts w:cstheme="minorHAnsi"/>
          <w:lang w:val="en-GB"/>
        </w:rPr>
        <w:t xml:space="preserve">most important </w:t>
      </w:r>
      <w:r w:rsidRPr="00AB21E6">
        <w:rPr>
          <w:rFonts w:cstheme="minorHAnsi"/>
          <w:lang w:val="en-GB"/>
        </w:rPr>
        <w:t xml:space="preserve">information </w:t>
      </w:r>
      <w:r w:rsidR="00994F9B">
        <w:rPr>
          <w:rFonts w:cstheme="minorHAnsi"/>
          <w:lang w:val="en-GB"/>
        </w:rPr>
        <w:t>on the Interim Coupling for</w:t>
      </w:r>
      <w:r w:rsidRPr="00AB21E6">
        <w:rPr>
          <w:rFonts w:cstheme="minorHAnsi"/>
          <w:lang w:val="en-GB"/>
        </w:rPr>
        <w:t xml:space="preserve"> market participants.</w:t>
      </w:r>
    </w:p>
    <w:p w14:paraId="40AF1ED3" w14:textId="51622D77" w:rsidR="00E77ECE" w:rsidRPr="005E1B90" w:rsidRDefault="00E77ECE" w:rsidP="36CD0169">
      <w:pPr>
        <w:jc w:val="both"/>
        <w:rPr>
          <w:rFonts w:cstheme="minorHAnsi"/>
          <w:b/>
          <w:bCs/>
          <w:lang w:val="en-GB"/>
        </w:rPr>
      </w:pPr>
      <w:r w:rsidRPr="005E1B90">
        <w:rPr>
          <w:rFonts w:cstheme="minorHAnsi"/>
          <w:b/>
          <w:bCs/>
          <w:lang w:val="en-GB"/>
        </w:rPr>
        <w:t xml:space="preserve">What is the </w:t>
      </w:r>
      <w:r w:rsidR="0045656F" w:rsidRPr="005E1B90">
        <w:rPr>
          <w:rFonts w:cstheme="minorHAnsi"/>
          <w:b/>
          <w:bCs/>
          <w:lang w:val="en-GB"/>
        </w:rPr>
        <w:t>main purpose of th</w:t>
      </w:r>
      <w:r w:rsidR="005E1B90" w:rsidRPr="005E1B90">
        <w:rPr>
          <w:rFonts w:cstheme="minorHAnsi"/>
          <w:b/>
          <w:bCs/>
          <w:lang w:val="en-GB"/>
        </w:rPr>
        <w:t>e project?</w:t>
      </w:r>
    </w:p>
    <w:p w14:paraId="3E7713FC" w14:textId="6BBF232C" w:rsidR="005E1B90" w:rsidRDefault="005E1B90" w:rsidP="005E1B90">
      <w:pPr>
        <w:spacing w:after="360"/>
        <w:jc w:val="both"/>
        <w:rPr>
          <w:rFonts w:cstheme="minorHAnsi"/>
          <w:lang w:val="en-GB"/>
        </w:rPr>
      </w:pPr>
      <w:r w:rsidRPr="005E1B90">
        <w:rPr>
          <w:rFonts w:cstheme="minorHAnsi"/>
          <w:lang w:val="en-GB"/>
        </w:rPr>
        <w:t xml:space="preserve">The aim of the Interim Coupling Project is to </w:t>
      </w:r>
      <w:r w:rsidR="006C18A4">
        <w:rPr>
          <w:rFonts w:cstheme="minorHAnsi"/>
          <w:lang w:val="en-GB"/>
        </w:rPr>
        <w:t>implement</w:t>
      </w:r>
      <w:r w:rsidRPr="005E1B90">
        <w:rPr>
          <w:rFonts w:cstheme="minorHAnsi"/>
          <w:lang w:val="en-GB"/>
        </w:rPr>
        <w:t xml:space="preserve"> NTC-based day-ahead market coupling of the MRC area and 4MMC area via the respective Bidding Zone Borders</w:t>
      </w:r>
      <w:r w:rsidR="00F26FEA">
        <w:rPr>
          <w:rFonts w:cstheme="minorHAnsi"/>
          <w:lang w:val="en-GB"/>
        </w:rPr>
        <w:t xml:space="preserve">: </w:t>
      </w:r>
      <w:r w:rsidRPr="005E1B90">
        <w:rPr>
          <w:rFonts w:cstheme="minorHAnsi"/>
          <w:lang w:val="en-GB"/>
        </w:rPr>
        <w:t>DE-CZ, DE-PL, PL-CZ, PL-SK, CZ-AT, AT-HU</w:t>
      </w:r>
      <w:r w:rsidR="00F26FEA">
        <w:rPr>
          <w:rFonts w:cstheme="minorHAnsi"/>
          <w:lang w:val="en-GB"/>
        </w:rPr>
        <w:t>,</w:t>
      </w:r>
      <w:r w:rsidRPr="005E1B90">
        <w:rPr>
          <w:rFonts w:cstheme="minorHAnsi"/>
          <w:lang w:val="en-GB"/>
        </w:rPr>
        <w:t xml:space="preserve"> and thereby creating the </w:t>
      </w:r>
      <w:r w:rsidR="00AB5C9F">
        <w:rPr>
          <w:rFonts w:cstheme="minorHAnsi"/>
          <w:lang w:val="en-GB"/>
        </w:rPr>
        <w:t>European</w:t>
      </w:r>
      <w:r w:rsidRPr="005E1B90">
        <w:rPr>
          <w:rFonts w:cstheme="minorHAnsi"/>
          <w:lang w:val="en-GB"/>
        </w:rPr>
        <w:t xml:space="preserve"> </w:t>
      </w:r>
      <w:r w:rsidR="00F26FEA">
        <w:rPr>
          <w:rFonts w:cstheme="minorHAnsi"/>
          <w:lang w:val="en-GB"/>
        </w:rPr>
        <w:t>S</w:t>
      </w:r>
      <w:r w:rsidRPr="005E1B90">
        <w:rPr>
          <w:rFonts w:cstheme="minorHAnsi"/>
          <w:lang w:val="en-GB"/>
        </w:rPr>
        <w:t xml:space="preserve">ingle </w:t>
      </w:r>
      <w:r w:rsidR="00F26FEA">
        <w:rPr>
          <w:rFonts w:cstheme="minorHAnsi"/>
          <w:lang w:val="en-GB"/>
        </w:rPr>
        <w:t>D</w:t>
      </w:r>
      <w:r w:rsidRPr="005E1B90">
        <w:rPr>
          <w:rFonts w:cstheme="minorHAnsi"/>
          <w:lang w:val="en-GB"/>
        </w:rPr>
        <w:t>ay-</w:t>
      </w:r>
      <w:r w:rsidR="00F26FEA">
        <w:rPr>
          <w:rFonts w:cstheme="minorHAnsi"/>
          <w:lang w:val="en-GB"/>
        </w:rPr>
        <w:t>A</w:t>
      </w:r>
      <w:r w:rsidRPr="005E1B90">
        <w:rPr>
          <w:rFonts w:cstheme="minorHAnsi"/>
          <w:lang w:val="en-GB"/>
        </w:rPr>
        <w:t xml:space="preserve">head </w:t>
      </w:r>
      <w:r w:rsidR="00F26FEA">
        <w:rPr>
          <w:rFonts w:cstheme="minorHAnsi"/>
          <w:lang w:val="en-GB"/>
        </w:rPr>
        <w:t>M</w:t>
      </w:r>
      <w:r w:rsidRPr="005E1B90">
        <w:rPr>
          <w:rFonts w:cstheme="minorHAnsi"/>
          <w:lang w:val="en-GB"/>
        </w:rPr>
        <w:t xml:space="preserve">arket (SDAC). By the introduction of implicit allocation on the abovementioned </w:t>
      </w:r>
      <w:r w:rsidR="00F26FEA">
        <w:rPr>
          <w:rFonts w:cstheme="minorHAnsi"/>
          <w:lang w:val="en-GB"/>
        </w:rPr>
        <w:t>Bidding Zone B</w:t>
      </w:r>
      <w:r w:rsidRPr="005E1B90">
        <w:rPr>
          <w:rFonts w:cstheme="minorHAnsi"/>
          <w:lang w:val="en-GB"/>
        </w:rPr>
        <w:t>orders</w:t>
      </w:r>
      <w:r w:rsidR="00F26FEA">
        <w:rPr>
          <w:rFonts w:cstheme="minorHAnsi"/>
          <w:lang w:val="en-GB"/>
        </w:rPr>
        <w:t>,</w:t>
      </w:r>
      <w:r w:rsidRPr="005E1B90">
        <w:rPr>
          <w:rFonts w:cstheme="minorHAnsi"/>
          <w:lang w:val="en-GB"/>
        </w:rPr>
        <w:t xml:space="preserve"> the two regions MRC and 4MMC</w:t>
      </w:r>
      <w:r w:rsidR="002B6318">
        <w:rPr>
          <w:rFonts w:cstheme="minorHAnsi"/>
          <w:lang w:val="en-GB"/>
        </w:rPr>
        <w:t xml:space="preserve"> </w:t>
      </w:r>
      <w:r w:rsidR="00F26FEA">
        <w:rPr>
          <w:rFonts w:cstheme="minorHAnsi"/>
          <w:lang w:val="en-GB"/>
        </w:rPr>
        <w:t xml:space="preserve">merging </w:t>
      </w:r>
      <w:r w:rsidR="002B6318">
        <w:rPr>
          <w:rFonts w:cstheme="minorHAnsi"/>
          <w:lang w:val="en-GB"/>
        </w:rPr>
        <w:t>into SDAC</w:t>
      </w:r>
      <w:r w:rsidRPr="005E1B90">
        <w:rPr>
          <w:rFonts w:cstheme="minorHAnsi"/>
          <w:lang w:val="en-GB"/>
        </w:rPr>
        <w:t xml:space="preserve"> will </w:t>
      </w:r>
      <w:r w:rsidR="00F26FEA">
        <w:rPr>
          <w:rFonts w:cstheme="minorHAnsi"/>
          <w:lang w:val="en-GB"/>
        </w:rPr>
        <w:t xml:space="preserve">be </w:t>
      </w:r>
      <w:r w:rsidR="00994F9B">
        <w:rPr>
          <w:rFonts w:cstheme="minorHAnsi"/>
          <w:lang w:val="en-GB"/>
        </w:rPr>
        <w:t>apply</w:t>
      </w:r>
      <w:r w:rsidR="00F26FEA">
        <w:rPr>
          <w:rFonts w:cstheme="minorHAnsi"/>
          <w:lang w:val="en-GB"/>
        </w:rPr>
        <w:t>ing</w:t>
      </w:r>
      <w:r w:rsidR="00994F9B">
        <w:rPr>
          <w:rFonts w:cstheme="minorHAnsi"/>
          <w:lang w:val="en-GB"/>
        </w:rPr>
        <w:t xml:space="preserve"> a single</w:t>
      </w:r>
      <w:r w:rsidR="00F26FEA">
        <w:rPr>
          <w:rFonts w:cstheme="minorHAnsi"/>
          <w:lang w:val="en-GB"/>
        </w:rPr>
        <w:t xml:space="preserve"> </w:t>
      </w:r>
      <w:r w:rsidR="00994F9B">
        <w:rPr>
          <w:rFonts w:cstheme="minorHAnsi"/>
          <w:lang w:val="en-GB"/>
        </w:rPr>
        <w:t>day</w:t>
      </w:r>
      <w:r w:rsidR="00F26FEA">
        <w:rPr>
          <w:rFonts w:cstheme="minorHAnsi"/>
          <w:lang w:val="en-GB"/>
        </w:rPr>
        <w:t>-</w:t>
      </w:r>
      <w:r w:rsidR="00994F9B">
        <w:rPr>
          <w:rFonts w:cstheme="minorHAnsi"/>
          <w:lang w:val="en-GB"/>
        </w:rPr>
        <w:t>ahead allocation process</w:t>
      </w:r>
      <w:r w:rsidR="00262BAE">
        <w:rPr>
          <w:rFonts w:cstheme="minorHAnsi"/>
          <w:lang w:val="en-GB"/>
        </w:rPr>
        <w:t>.</w:t>
      </w:r>
    </w:p>
    <w:p w14:paraId="76BB4745" w14:textId="70871C2D" w:rsidR="0092167D" w:rsidRDefault="0092167D" w:rsidP="001A29DE">
      <w:pPr>
        <w:spacing w:after="360"/>
        <w:jc w:val="center"/>
        <w:rPr>
          <w:rFonts w:cstheme="minorHAnsi"/>
          <w:b/>
          <w:bCs/>
          <w:lang w:val="en-GB"/>
        </w:rPr>
      </w:pPr>
    </w:p>
    <w:p w14:paraId="66655A78" w14:textId="58B4737C" w:rsidR="008B447C" w:rsidRDefault="008B447C" w:rsidP="006C18A4">
      <w:pPr>
        <w:spacing w:after="360"/>
        <w:jc w:val="center"/>
        <w:rPr>
          <w:rFonts w:cstheme="minorHAnsi"/>
          <w:bCs/>
          <w:sz w:val="20"/>
          <w:lang w:val="en-GB"/>
        </w:rPr>
      </w:pPr>
      <w:r>
        <w:rPr>
          <w:noProof/>
          <w:lang w:eastAsia="hu-HU"/>
        </w:rPr>
        <w:drawing>
          <wp:inline distT="0" distB="0" distL="0" distR="0" wp14:anchorId="1DBF4001" wp14:editId="15F1EA83">
            <wp:extent cx="4071620" cy="3690579"/>
            <wp:effectExtent l="0" t="0" r="5080" b="571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9213" cy="3697461"/>
                    </a:xfrm>
                    <a:prstGeom prst="rect">
                      <a:avLst/>
                    </a:prstGeom>
                  </pic:spPr>
                </pic:pic>
              </a:graphicData>
            </a:graphic>
          </wp:inline>
        </w:drawing>
      </w:r>
    </w:p>
    <w:p w14:paraId="59D1C9E6" w14:textId="619D30C8" w:rsidR="0092167D" w:rsidRPr="001A29DE" w:rsidRDefault="008E6C45" w:rsidP="005E1B90">
      <w:pPr>
        <w:spacing w:after="360"/>
        <w:jc w:val="both"/>
        <w:rPr>
          <w:rFonts w:cstheme="minorHAnsi"/>
          <w:bCs/>
          <w:sz w:val="20"/>
          <w:lang w:val="en-GB"/>
        </w:rPr>
      </w:pPr>
      <w:r w:rsidRPr="001A29DE">
        <w:rPr>
          <w:rFonts w:cstheme="minorHAnsi"/>
          <w:bCs/>
          <w:sz w:val="20"/>
          <w:lang w:val="en-GB"/>
        </w:rPr>
        <w:t xml:space="preserve">Picture 1: </w:t>
      </w:r>
      <w:r w:rsidRPr="001A29DE">
        <w:rPr>
          <w:rFonts w:cstheme="minorHAnsi"/>
          <w:bCs/>
          <w:color w:val="2F5496" w:themeColor="accent5" w:themeShade="BF"/>
          <w:sz w:val="20"/>
          <w:lang w:val="en-GB"/>
        </w:rPr>
        <w:t>SDAC</w:t>
      </w:r>
      <w:r w:rsidR="007E0160">
        <w:rPr>
          <w:rFonts w:cstheme="minorHAnsi"/>
          <w:bCs/>
          <w:color w:val="2F5496" w:themeColor="accent5" w:themeShade="BF"/>
          <w:sz w:val="20"/>
          <w:lang w:val="en-GB"/>
        </w:rPr>
        <w:t xml:space="preserve"> </w:t>
      </w:r>
      <w:r w:rsidRPr="001A29DE">
        <w:rPr>
          <w:rFonts w:cstheme="minorHAnsi"/>
          <w:bCs/>
          <w:color w:val="2F5496" w:themeColor="accent5" w:themeShade="BF"/>
          <w:sz w:val="20"/>
          <w:lang w:val="en-GB"/>
        </w:rPr>
        <w:t xml:space="preserve">- </w:t>
      </w:r>
      <w:r w:rsidR="0092167D" w:rsidRPr="001A29DE">
        <w:rPr>
          <w:rFonts w:cstheme="minorHAnsi"/>
          <w:bCs/>
          <w:color w:val="2F5496" w:themeColor="accent5" w:themeShade="BF"/>
          <w:sz w:val="20"/>
          <w:lang w:val="en-GB"/>
        </w:rPr>
        <w:t>dark blue: MRC region</w:t>
      </w:r>
      <w:r w:rsidR="0092167D" w:rsidRPr="001A29DE">
        <w:rPr>
          <w:rFonts w:cstheme="minorHAnsi"/>
          <w:bCs/>
          <w:sz w:val="20"/>
          <w:lang w:val="en-GB"/>
        </w:rPr>
        <w:t xml:space="preserve">; </w:t>
      </w:r>
      <w:r w:rsidR="0092167D" w:rsidRPr="001A29DE">
        <w:rPr>
          <w:rFonts w:cstheme="minorHAnsi"/>
          <w:bCs/>
          <w:color w:val="9CC2E5" w:themeColor="accent1" w:themeTint="99"/>
          <w:sz w:val="20"/>
          <w:lang w:val="en-GB"/>
        </w:rPr>
        <w:t>light blue: 4MMC region</w:t>
      </w:r>
    </w:p>
    <w:p w14:paraId="5C1B6F08" w14:textId="43EB0BDB" w:rsidR="00053132" w:rsidRPr="00053132" w:rsidRDefault="005944B4" w:rsidP="36CD0169">
      <w:pPr>
        <w:jc w:val="both"/>
        <w:rPr>
          <w:rFonts w:cstheme="minorHAnsi"/>
          <w:bCs/>
          <w:lang w:val="en-GB"/>
        </w:rPr>
      </w:pPr>
      <w:r w:rsidRPr="005944B4">
        <w:rPr>
          <w:rFonts w:cstheme="minorHAnsi"/>
          <w:bCs/>
          <w:lang w:val="en-GB"/>
        </w:rPr>
        <w:t xml:space="preserve">The </w:t>
      </w:r>
      <w:r w:rsidR="00F33EC3">
        <w:rPr>
          <w:rFonts w:cstheme="minorHAnsi"/>
          <w:bCs/>
          <w:lang w:val="en-GB"/>
        </w:rPr>
        <w:t>project is to be understood as an interim step towards the implementation of Flow-Based Market Coupling</w:t>
      </w:r>
      <w:r w:rsidR="00F26FEA">
        <w:rPr>
          <w:rFonts w:cstheme="minorHAnsi"/>
          <w:bCs/>
          <w:lang w:val="en-GB"/>
        </w:rPr>
        <w:t xml:space="preserve"> (FBMC)</w:t>
      </w:r>
      <w:r w:rsidR="00F33EC3">
        <w:rPr>
          <w:rFonts w:cstheme="minorHAnsi"/>
          <w:bCs/>
          <w:lang w:val="en-GB"/>
        </w:rPr>
        <w:t xml:space="preserve"> in the Core region. The NTC-based </w:t>
      </w:r>
      <w:r w:rsidR="00994F9B">
        <w:rPr>
          <w:rFonts w:cstheme="minorHAnsi"/>
          <w:bCs/>
          <w:lang w:val="en-GB"/>
        </w:rPr>
        <w:t>capacity calculation and allocation</w:t>
      </w:r>
      <w:r w:rsidR="00F33EC3">
        <w:rPr>
          <w:rFonts w:cstheme="minorHAnsi"/>
          <w:bCs/>
          <w:lang w:val="en-GB"/>
        </w:rPr>
        <w:t xml:space="preserve"> on the </w:t>
      </w:r>
      <w:r w:rsidR="00F33EC3">
        <w:rPr>
          <w:rFonts w:cstheme="minorHAnsi"/>
          <w:bCs/>
          <w:lang w:val="en-GB"/>
        </w:rPr>
        <w:lastRenderedPageBreak/>
        <w:t xml:space="preserve">abovementioned borders will be replaced </w:t>
      </w:r>
      <w:r w:rsidR="00994F9B">
        <w:rPr>
          <w:rFonts w:cstheme="minorHAnsi"/>
          <w:bCs/>
          <w:lang w:val="en-GB"/>
        </w:rPr>
        <w:t xml:space="preserve">by </w:t>
      </w:r>
      <w:r w:rsidR="00F33EC3">
        <w:rPr>
          <w:rFonts w:cstheme="minorHAnsi"/>
          <w:bCs/>
          <w:lang w:val="en-GB"/>
        </w:rPr>
        <w:t xml:space="preserve">Core </w:t>
      </w:r>
      <w:r w:rsidR="00994F9B">
        <w:rPr>
          <w:rFonts w:cstheme="minorHAnsi"/>
          <w:bCs/>
          <w:lang w:val="en-GB"/>
        </w:rPr>
        <w:t>f</w:t>
      </w:r>
      <w:r w:rsidR="00F33EC3">
        <w:rPr>
          <w:rFonts w:cstheme="minorHAnsi"/>
          <w:bCs/>
          <w:lang w:val="en-GB"/>
        </w:rPr>
        <w:t>low-</w:t>
      </w:r>
      <w:r w:rsidR="00994F9B">
        <w:rPr>
          <w:rFonts w:cstheme="minorHAnsi"/>
          <w:bCs/>
          <w:lang w:val="en-GB"/>
        </w:rPr>
        <w:t>b</w:t>
      </w:r>
      <w:r w:rsidR="00F33EC3">
        <w:rPr>
          <w:rFonts w:cstheme="minorHAnsi"/>
          <w:bCs/>
          <w:lang w:val="en-GB"/>
        </w:rPr>
        <w:t xml:space="preserve">ased </w:t>
      </w:r>
      <w:r w:rsidR="00994F9B">
        <w:rPr>
          <w:rFonts w:cstheme="minorHAnsi"/>
          <w:bCs/>
          <w:lang w:val="en-GB"/>
        </w:rPr>
        <w:t>capacity calculation and allocation once Core FBMC is</w:t>
      </w:r>
      <w:r w:rsidR="00F33EC3">
        <w:rPr>
          <w:rFonts w:cstheme="minorHAnsi"/>
          <w:bCs/>
          <w:lang w:val="en-GB"/>
        </w:rPr>
        <w:t xml:space="preserve"> implemented. </w:t>
      </w:r>
    </w:p>
    <w:p w14:paraId="44BC9B42" w14:textId="0DD83C36" w:rsidR="00CC6FB8" w:rsidRPr="005E1B90" w:rsidRDefault="00CC6FB8" w:rsidP="001A29DE">
      <w:pPr>
        <w:keepNext/>
        <w:jc w:val="both"/>
        <w:rPr>
          <w:rFonts w:cstheme="minorHAnsi"/>
          <w:b/>
          <w:bCs/>
          <w:lang w:val="en-GB"/>
        </w:rPr>
      </w:pPr>
      <w:r w:rsidRPr="005E1B90">
        <w:rPr>
          <w:rFonts w:cstheme="minorHAnsi"/>
          <w:b/>
          <w:bCs/>
          <w:lang w:val="en-GB"/>
        </w:rPr>
        <w:t>What are the main changes that this project</w:t>
      </w:r>
      <w:r w:rsidR="00566677">
        <w:rPr>
          <w:rFonts w:cstheme="minorHAnsi"/>
          <w:b/>
          <w:bCs/>
          <w:lang w:val="en-GB"/>
        </w:rPr>
        <w:t xml:space="preserve"> </w:t>
      </w:r>
      <w:r w:rsidR="00E74FE7" w:rsidRPr="005E1B90">
        <w:rPr>
          <w:rFonts w:cstheme="minorHAnsi"/>
          <w:b/>
          <w:bCs/>
          <w:lang w:val="en-GB"/>
        </w:rPr>
        <w:t xml:space="preserve">will bring for the market participants? </w:t>
      </w:r>
    </w:p>
    <w:p w14:paraId="5956D33B" w14:textId="41CCB374" w:rsidR="0094581C" w:rsidRPr="005E1B90" w:rsidRDefault="0094581C" w:rsidP="006C18A4">
      <w:pPr>
        <w:keepNext/>
        <w:spacing w:after="0"/>
        <w:jc w:val="both"/>
        <w:rPr>
          <w:rFonts w:cstheme="minorHAnsi"/>
          <w:lang w:val="en-GB"/>
        </w:rPr>
      </w:pPr>
      <w:r w:rsidRPr="005E1B90">
        <w:rPr>
          <w:rFonts w:cstheme="minorHAnsi"/>
          <w:lang w:val="en-GB"/>
        </w:rPr>
        <w:t>The main implication</w:t>
      </w:r>
      <w:r w:rsidR="00F26FEA">
        <w:rPr>
          <w:rFonts w:cstheme="minorHAnsi"/>
          <w:lang w:val="en-GB"/>
        </w:rPr>
        <w:t>s</w:t>
      </w:r>
      <w:r w:rsidRPr="005E1B90">
        <w:rPr>
          <w:rFonts w:cstheme="minorHAnsi"/>
          <w:lang w:val="en-GB"/>
        </w:rPr>
        <w:t xml:space="preserve"> for the market participants</w:t>
      </w:r>
      <w:r w:rsidR="00F04A6B" w:rsidRPr="005E1B90">
        <w:rPr>
          <w:rFonts w:cstheme="minorHAnsi"/>
          <w:lang w:val="en-GB"/>
        </w:rPr>
        <w:t xml:space="preserve"> are the following: </w:t>
      </w:r>
    </w:p>
    <w:p w14:paraId="0DFD2328" w14:textId="7A198776" w:rsidR="00F04A6B" w:rsidRDefault="00772B5E" w:rsidP="001A29DE">
      <w:pPr>
        <w:pStyle w:val="Listaszerbekezds"/>
        <w:keepNext/>
        <w:numPr>
          <w:ilvl w:val="0"/>
          <w:numId w:val="2"/>
        </w:numPr>
        <w:jc w:val="both"/>
        <w:rPr>
          <w:rFonts w:cstheme="minorHAnsi"/>
          <w:lang w:val="en-GB"/>
        </w:rPr>
      </w:pPr>
      <w:r w:rsidRPr="005E1B90">
        <w:rPr>
          <w:rFonts w:cstheme="minorHAnsi"/>
          <w:lang w:val="en-GB"/>
        </w:rPr>
        <w:t xml:space="preserve">The </w:t>
      </w:r>
      <w:r w:rsidR="00F26FEA">
        <w:rPr>
          <w:rFonts w:cstheme="minorHAnsi"/>
          <w:lang w:val="en-GB"/>
        </w:rPr>
        <w:t xml:space="preserve">day-ahead market </w:t>
      </w:r>
      <w:r w:rsidRPr="005E1B90">
        <w:rPr>
          <w:rFonts w:cstheme="minorHAnsi"/>
          <w:lang w:val="en-GB"/>
        </w:rPr>
        <w:t>gate closure time</w:t>
      </w:r>
      <w:r w:rsidR="00F26FEA">
        <w:rPr>
          <w:rFonts w:cstheme="minorHAnsi"/>
          <w:lang w:val="en-GB"/>
        </w:rPr>
        <w:t xml:space="preserve"> (GCT)</w:t>
      </w:r>
      <w:r w:rsidRPr="005E1B90">
        <w:rPr>
          <w:rFonts w:cstheme="minorHAnsi"/>
          <w:lang w:val="en-GB"/>
        </w:rPr>
        <w:t xml:space="preserve"> </w:t>
      </w:r>
      <w:r w:rsidR="00F26FEA">
        <w:rPr>
          <w:rFonts w:cstheme="minorHAnsi"/>
          <w:lang w:val="en-GB"/>
        </w:rPr>
        <w:t xml:space="preserve">for all </w:t>
      </w:r>
      <w:r w:rsidR="002B6318">
        <w:rPr>
          <w:rFonts w:cstheme="minorHAnsi"/>
          <w:lang w:val="en-GB"/>
        </w:rPr>
        <w:t>bidding</w:t>
      </w:r>
      <w:r w:rsidR="00F26FEA">
        <w:rPr>
          <w:rFonts w:cstheme="minorHAnsi"/>
          <w:lang w:val="en-GB"/>
        </w:rPr>
        <w:t xml:space="preserve"> areas </w:t>
      </w:r>
      <w:r w:rsidRPr="005E1B90">
        <w:rPr>
          <w:rFonts w:cstheme="minorHAnsi"/>
          <w:lang w:val="en-GB"/>
        </w:rPr>
        <w:t xml:space="preserve">will be </w:t>
      </w:r>
      <w:r w:rsidR="00F26FEA">
        <w:rPr>
          <w:rFonts w:cstheme="minorHAnsi"/>
          <w:lang w:val="en-GB"/>
        </w:rPr>
        <w:t>unified</w:t>
      </w:r>
      <w:r w:rsidR="00F26FEA" w:rsidRPr="005E1B90">
        <w:rPr>
          <w:rFonts w:cstheme="minorHAnsi"/>
          <w:lang w:val="en-GB"/>
        </w:rPr>
        <w:t xml:space="preserve"> </w:t>
      </w:r>
      <w:r w:rsidRPr="005E1B90">
        <w:rPr>
          <w:rFonts w:cstheme="minorHAnsi"/>
          <w:lang w:val="en-GB"/>
        </w:rPr>
        <w:t>to 12</w:t>
      </w:r>
      <w:r w:rsidR="00DE1CC5" w:rsidRPr="005E1B90">
        <w:rPr>
          <w:rFonts w:cstheme="minorHAnsi"/>
          <w:lang w:val="en-GB"/>
        </w:rPr>
        <w:t>:00</w:t>
      </w:r>
      <w:r w:rsidR="00F26FEA">
        <w:rPr>
          <w:rFonts w:cstheme="minorHAnsi"/>
          <w:lang w:val="en-GB"/>
        </w:rPr>
        <w:t>h</w:t>
      </w:r>
      <w:r w:rsidR="00DE1CC5" w:rsidRPr="005E1B90">
        <w:rPr>
          <w:rFonts w:cstheme="minorHAnsi"/>
          <w:lang w:val="en-GB"/>
        </w:rPr>
        <w:t xml:space="preserve"> </w:t>
      </w:r>
      <w:r w:rsidR="002B6318">
        <w:rPr>
          <w:rFonts w:cstheme="minorHAnsi"/>
          <w:lang w:val="en-GB"/>
        </w:rPr>
        <w:t>throughout</w:t>
      </w:r>
      <w:r w:rsidR="002B6318" w:rsidRPr="005E1B90">
        <w:rPr>
          <w:rFonts w:cstheme="minorHAnsi"/>
          <w:lang w:val="en-GB"/>
        </w:rPr>
        <w:t xml:space="preserve"> </w:t>
      </w:r>
      <w:r w:rsidR="00DE1CC5" w:rsidRPr="005E1B90">
        <w:rPr>
          <w:rFonts w:cstheme="minorHAnsi"/>
          <w:lang w:val="en-GB"/>
        </w:rPr>
        <w:t xml:space="preserve">the whole SDAC area. </w:t>
      </w:r>
      <w:r w:rsidR="002B6318">
        <w:rPr>
          <w:rFonts w:cstheme="minorHAnsi"/>
          <w:lang w:val="en-GB"/>
        </w:rPr>
        <w:t>Thus,</w:t>
      </w:r>
      <w:r w:rsidR="002B6318" w:rsidRPr="005E1B90">
        <w:rPr>
          <w:rFonts w:cstheme="minorHAnsi"/>
          <w:lang w:val="en-GB"/>
        </w:rPr>
        <w:t xml:space="preserve"> </w:t>
      </w:r>
      <w:r w:rsidR="0036735E" w:rsidRPr="005E1B90">
        <w:rPr>
          <w:rFonts w:cstheme="minorHAnsi"/>
          <w:lang w:val="en-GB"/>
        </w:rPr>
        <w:t xml:space="preserve">the market participants from </w:t>
      </w:r>
      <w:r w:rsidR="00846117" w:rsidRPr="005E1B90">
        <w:rPr>
          <w:rFonts w:cstheme="minorHAnsi"/>
          <w:lang w:val="en-GB"/>
        </w:rPr>
        <w:t xml:space="preserve">CZ, SK, HU and RO bidding areas, will </w:t>
      </w:r>
      <w:r w:rsidR="002B6318">
        <w:rPr>
          <w:rFonts w:cstheme="minorHAnsi"/>
          <w:lang w:val="en-GB"/>
        </w:rPr>
        <w:t>have an opportunity to prolong their bidding activities for an hour</w:t>
      </w:r>
      <w:r w:rsidR="007B189E" w:rsidRPr="005E1B90">
        <w:rPr>
          <w:rFonts w:cstheme="minorHAnsi"/>
          <w:lang w:val="en-GB"/>
        </w:rPr>
        <w:t>.</w:t>
      </w:r>
      <w:r w:rsidR="00C75D07">
        <w:rPr>
          <w:rFonts w:cstheme="minorHAnsi"/>
          <w:lang w:val="en-GB"/>
        </w:rPr>
        <w:t xml:space="preserve"> The exact timings for market results publication will be adjusted accordingly and communicated in due time prior to the go-live.</w:t>
      </w:r>
      <w:r w:rsidR="007B189E" w:rsidRPr="005E1B90">
        <w:rPr>
          <w:rFonts w:cstheme="minorHAnsi"/>
          <w:lang w:val="en-GB"/>
        </w:rPr>
        <w:t xml:space="preserve"> </w:t>
      </w:r>
    </w:p>
    <w:p w14:paraId="5D92F2FB" w14:textId="60659D80" w:rsidR="002B6318" w:rsidRPr="005E1B90" w:rsidRDefault="002B6318" w:rsidP="001A29DE">
      <w:pPr>
        <w:pStyle w:val="Listaszerbekezds"/>
        <w:keepNext/>
        <w:numPr>
          <w:ilvl w:val="0"/>
          <w:numId w:val="2"/>
        </w:numPr>
        <w:jc w:val="both"/>
        <w:rPr>
          <w:rFonts w:cstheme="minorHAnsi"/>
          <w:lang w:val="en-GB"/>
        </w:rPr>
      </w:pPr>
      <w:r w:rsidRPr="005E1B90">
        <w:rPr>
          <w:rFonts w:asciiTheme="minorHAnsi" w:hAnsiTheme="minorHAnsi" w:cstheme="minorHAnsi"/>
          <w:lang w:val="en-GB"/>
        </w:rPr>
        <w:t xml:space="preserve">The SDAC area including the former MRC and 4MMC regions should, due to the larger-scale, bring more </w:t>
      </w:r>
      <w:r>
        <w:rPr>
          <w:rFonts w:asciiTheme="minorHAnsi" w:hAnsiTheme="minorHAnsi" w:cstheme="minorHAnsi"/>
          <w:lang w:val="en-GB"/>
        </w:rPr>
        <w:t>trading opportunities on the</w:t>
      </w:r>
      <w:r w:rsidRPr="005E1B90">
        <w:rPr>
          <w:rFonts w:asciiTheme="minorHAnsi" w:hAnsiTheme="minorHAnsi" w:cstheme="minorHAnsi"/>
          <w:lang w:val="en-GB"/>
        </w:rPr>
        <w:t xml:space="preserve"> day-ahead market</w:t>
      </w:r>
      <w:r>
        <w:rPr>
          <w:rFonts w:asciiTheme="minorHAnsi" w:hAnsiTheme="minorHAnsi" w:cstheme="minorHAnsi"/>
          <w:lang w:val="en-GB"/>
        </w:rPr>
        <w:t>.</w:t>
      </w:r>
    </w:p>
    <w:p w14:paraId="4B189EDE" w14:textId="7DCD3F6E" w:rsidR="00C577B8" w:rsidRPr="005E1B90" w:rsidRDefault="00AB5C9F" w:rsidP="00F04A6B">
      <w:pPr>
        <w:pStyle w:val="Listaszerbekezds"/>
        <w:numPr>
          <w:ilvl w:val="0"/>
          <w:numId w:val="2"/>
        </w:numPr>
        <w:jc w:val="both"/>
        <w:rPr>
          <w:rFonts w:cstheme="minorHAnsi"/>
          <w:lang w:val="en-GB"/>
        </w:rPr>
      </w:pPr>
      <w:r>
        <w:rPr>
          <w:rFonts w:cstheme="minorHAnsi"/>
          <w:lang w:val="en-GB"/>
        </w:rPr>
        <w:t xml:space="preserve">Daily </w:t>
      </w:r>
      <w:r w:rsidR="003E44FC">
        <w:rPr>
          <w:rFonts w:cstheme="minorHAnsi"/>
          <w:lang w:val="en-GB"/>
        </w:rPr>
        <w:t>e</w:t>
      </w:r>
      <w:r w:rsidR="00C577B8" w:rsidRPr="005E1B90">
        <w:rPr>
          <w:rFonts w:cstheme="minorHAnsi"/>
          <w:lang w:val="en-GB"/>
        </w:rPr>
        <w:t>xplicit auctions</w:t>
      </w:r>
      <w:r>
        <w:rPr>
          <w:rFonts w:cstheme="minorHAnsi"/>
          <w:lang w:val="en-GB"/>
        </w:rPr>
        <w:t xml:space="preserve"> </w:t>
      </w:r>
      <w:r w:rsidR="002B6318">
        <w:rPr>
          <w:rFonts w:cstheme="minorHAnsi"/>
          <w:lang w:val="en-GB"/>
        </w:rPr>
        <w:t xml:space="preserve">conducted </w:t>
      </w:r>
      <w:r>
        <w:rPr>
          <w:rFonts w:cstheme="minorHAnsi"/>
          <w:lang w:val="en-GB"/>
        </w:rPr>
        <w:t>via JAO</w:t>
      </w:r>
      <w:r w:rsidR="00C577B8" w:rsidRPr="005E1B90">
        <w:rPr>
          <w:rFonts w:cstheme="minorHAnsi"/>
          <w:lang w:val="en-GB"/>
        </w:rPr>
        <w:t xml:space="preserve"> </w:t>
      </w:r>
      <w:r w:rsidR="00F973FE" w:rsidRPr="005E1B90">
        <w:rPr>
          <w:rFonts w:cstheme="minorHAnsi"/>
          <w:lang w:val="en-GB"/>
        </w:rPr>
        <w:t xml:space="preserve">on </w:t>
      </w:r>
      <w:r w:rsidR="00F973FE" w:rsidRPr="005E1B90">
        <w:rPr>
          <w:rFonts w:asciiTheme="minorHAnsi" w:hAnsiTheme="minorHAnsi" w:cstheme="minorHAnsi"/>
          <w:lang w:val="en-GB"/>
        </w:rPr>
        <w:t xml:space="preserve">DE-CZ, DE-PL, PL-CZ, PL-SK, CZ-AT and AT-HU </w:t>
      </w:r>
      <w:r w:rsidR="002B6318">
        <w:rPr>
          <w:rFonts w:asciiTheme="minorHAnsi" w:hAnsiTheme="minorHAnsi" w:cstheme="minorHAnsi"/>
          <w:lang w:val="en-GB"/>
        </w:rPr>
        <w:t>Bidding Zone B</w:t>
      </w:r>
      <w:r w:rsidR="00F973FE" w:rsidRPr="005E1B90">
        <w:rPr>
          <w:rFonts w:asciiTheme="minorHAnsi" w:hAnsiTheme="minorHAnsi" w:cstheme="minorHAnsi"/>
          <w:lang w:val="en-GB"/>
        </w:rPr>
        <w:t xml:space="preserve">orders will be </w:t>
      </w:r>
      <w:r w:rsidR="002B6318">
        <w:rPr>
          <w:rFonts w:asciiTheme="minorHAnsi" w:hAnsiTheme="minorHAnsi" w:cstheme="minorHAnsi"/>
          <w:lang w:val="en-GB"/>
        </w:rPr>
        <w:t>ceased</w:t>
      </w:r>
      <w:r w:rsidR="002B6318" w:rsidRPr="005E1B90">
        <w:rPr>
          <w:rFonts w:asciiTheme="minorHAnsi" w:hAnsiTheme="minorHAnsi" w:cstheme="minorHAnsi"/>
          <w:lang w:val="en-GB"/>
        </w:rPr>
        <w:t xml:space="preserve"> </w:t>
      </w:r>
      <w:r w:rsidR="00076989" w:rsidRPr="005E1B90">
        <w:rPr>
          <w:rFonts w:asciiTheme="minorHAnsi" w:hAnsiTheme="minorHAnsi" w:cstheme="minorHAnsi"/>
          <w:lang w:val="en-GB"/>
        </w:rPr>
        <w:t>and replaced by implicit allocation</w:t>
      </w:r>
      <w:r w:rsidR="00E83679">
        <w:rPr>
          <w:rFonts w:asciiTheme="minorHAnsi" w:hAnsiTheme="minorHAnsi" w:cstheme="minorHAnsi"/>
          <w:lang w:val="en-GB"/>
        </w:rPr>
        <w:t xml:space="preserve"> of cross</w:t>
      </w:r>
      <w:r w:rsidR="00F62634">
        <w:rPr>
          <w:rFonts w:asciiTheme="minorHAnsi" w:hAnsiTheme="minorHAnsi" w:cstheme="minorHAnsi"/>
          <w:lang w:val="en-GB"/>
        </w:rPr>
        <w:t>-</w:t>
      </w:r>
      <w:r w:rsidR="00E83679">
        <w:rPr>
          <w:rFonts w:asciiTheme="minorHAnsi" w:hAnsiTheme="minorHAnsi" w:cstheme="minorHAnsi"/>
          <w:lang w:val="en-GB"/>
        </w:rPr>
        <w:t xml:space="preserve">border capacities via the </w:t>
      </w:r>
      <w:r w:rsidR="00A45514">
        <w:rPr>
          <w:rFonts w:asciiTheme="minorHAnsi" w:hAnsiTheme="minorHAnsi" w:cstheme="minorHAnsi"/>
          <w:lang w:val="en-GB"/>
        </w:rPr>
        <w:t>trading platforms of Nominated Electricity Market Operators.</w:t>
      </w:r>
      <w:r w:rsidR="00C0556F" w:rsidRPr="005E1B90">
        <w:rPr>
          <w:rFonts w:asciiTheme="minorHAnsi" w:hAnsiTheme="minorHAnsi" w:cstheme="minorHAnsi"/>
          <w:lang w:val="en-GB"/>
        </w:rPr>
        <w:t xml:space="preserve"> </w:t>
      </w:r>
    </w:p>
    <w:p w14:paraId="69845ECE" w14:textId="4613AAEC" w:rsidR="003D0D96" w:rsidRPr="006C18A4" w:rsidRDefault="003C1986" w:rsidP="006C18A4">
      <w:pPr>
        <w:pStyle w:val="Listaszerbekezds"/>
        <w:numPr>
          <w:ilvl w:val="0"/>
          <w:numId w:val="2"/>
        </w:numPr>
        <w:jc w:val="both"/>
        <w:rPr>
          <w:rFonts w:asciiTheme="minorHAnsi" w:hAnsiTheme="minorHAnsi" w:cstheme="minorHAnsi"/>
          <w:lang w:val="en-GB"/>
        </w:rPr>
      </w:pPr>
      <w:r>
        <w:rPr>
          <w:rFonts w:asciiTheme="minorHAnsi" w:hAnsiTheme="minorHAnsi" w:cstheme="minorHAnsi"/>
          <w:lang w:val="en-GB"/>
        </w:rPr>
        <w:t xml:space="preserve">Implicit allocation on the abovementioned borders will allow for a more efficient allocation of cross-zonal capacity in the European Day-ahead market.   </w:t>
      </w:r>
    </w:p>
    <w:p w14:paraId="7F1F703F" w14:textId="10DE4C4F" w:rsidR="00413243" w:rsidRDefault="00F62634" w:rsidP="00F04A6B">
      <w:pPr>
        <w:pStyle w:val="Listaszerbekezds"/>
        <w:numPr>
          <w:ilvl w:val="0"/>
          <w:numId w:val="2"/>
        </w:numPr>
        <w:jc w:val="both"/>
        <w:rPr>
          <w:rFonts w:asciiTheme="minorHAnsi" w:hAnsiTheme="minorHAnsi" w:cstheme="minorHAnsi"/>
          <w:lang w:val="en-GB"/>
        </w:rPr>
      </w:pPr>
      <w:r>
        <w:rPr>
          <w:rFonts w:asciiTheme="minorHAnsi" w:hAnsiTheme="minorHAnsi" w:cstheme="minorHAnsi"/>
          <w:lang w:val="en-GB"/>
        </w:rPr>
        <w:t>The implementation of Partial D</w:t>
      </w:r>
      <w:r w:rsidR="00413243">
        <w:rPr>
          <w:rFonts w:asciiTheme="minorHAnsi" w:hAnsiTheme="minorHAnsi" w:cstheme="minorHAnsi"/>
          <w:lang w:val="en-GB"/>
        </w:rPr>
        <w:t>ecoupling</w:t>
      </w:r>
      <w:r>
        <w:rPr>
          <w:rFonts w:asciiTheme="minorHAnsi" w:hAnsiTheme="minorHAnsi" w:cstheme="minorHAnsi"/>
          <w:lang w:val="en-GB"/>
        </w:rPr>
        <w:t xml:space="preserve"> is foreseen for the project. Partial Dec</w:t>
      </w:r>
      <w:r w:rsidRPr="00F62634">
        <w:rPr>
          <w:rFonts w:asciiTheme="minorHAnsi" w:hAnsiTheme="minorHAnsi" w:cstheme="minorHAnsi"/>
          <w:lang w:val="en-GB"/>
        </w:rPr>
        <w:t>oupling is a situation where it is not possible, for a sp</w:t>
      </w:r>
      <w:r>
        <w:rPr>
          <w:rFonts w:asciiTheme="minorHAnsi" w:hAnsiTheme="minorHAnsi" w:cstheme="minorHAnsi"/>
          <w:lang w:val="en-GB"/>
        </w:rPr>
        <w:t>ecific day, to allocate the cross-zonal capacities</w:t>
      </w:r>
      <w:r w:rsidRPr="00F62634">
        <w:rPr>
          <w:rFonts w:asciiTheme="minorHAnsi" w:hAnsiTheme="minorHAnsi" w:cstheme="minorHAnsi"/>
          <w:lang w:val="en-GB"/>
        </w:rPr>
        <w:t xml:space="preserve"> via the implicit allocation for one or several </w:t>
      </w:r>
      <w:r>
        <w:rPr>
          <w:rFonts w:asciiTheme="minorHAnsi" w:hAnsiTheme="minorHAnsi" w:cstheme="minorHAnsi"/>
          <w:lang w:val="en-GB"/>
        </w:rPr>
        <w:t>bidding zones</w:t>
      </w:r>
      <w:r w:rsidRPr="00F62634">
        <w:rPr>
          <w:rFonts w:asciiTheme="minorHAnsi" w:hAnsiTheme="minorHAnsi" w:cstheme="minorHAnsi"/>
          <w:lang w:val="en-GB"/>
        </w:rPr>
        <w:t xml:space="preserve"> and/or interconnectors before the relevant deadline</w:t>
      </w:r>
      <w:r>
        <w:rPr>
          <w:rFonts w:asciiTheme="minorHAnsi" w:hAnsiTheme="minorHAnsi" w:cstheme="minorHAnsi"/>
          <w:lang w:val="en-GB"/>
        </w:rPr>
        <w:t xml:space="preserve">. </w:t>
      </w:r>
      <w:r w:rsidRPr="00F62634">
        <w:rPr>
          <w:rFonts w:asciiTheme="minorHAnsi" w:hAnsiTheme="minorHAnsi" w:cstheme="minorHAnsi"/>
          <w:lang w:val="en-GB"/>
        </w:rPr>
        <w:t xml:space="preserve">In case of Partial </w:t>
      </w:r>
      <w:r>
        <w:rPr>
          <w:rFonts w:asciiTheme="minorHAnsi" w:hAnsiTheme="minorHAnsi" w:cstheme="minorHAnsi"/>
          <w:lang w:val="en-GB"/>
        </w:rPr>
        <w:t>Dec</w:t>
      </w:r>
      <w:r w:rsidRPr="00F62634">
        <w:rPr>
          <w:rFonts w:asciiTheme="minorHAnsi" w:hAnsiTheme="minorHAnsi" w:cstheme="minorHAnsi"/>
          <w:lang w:val="en-GB"/>
        </w:rPr>
        <w:t>oupling, the affected borders will be decoupled</w:t>
      </w:r>
      <w:r w:rsidR="00F41D79">
        <w:rPr>
          <w:rFonts w:asciiTheme="minorHAnsi" w:hAnsiTheme="minorHAnsi" w:cstheme="minorHAnsi"/>
          <w:lang w:val="en-GB"/>
        </w:rPr>
        <w:t xml:space="preserve"> and Fallback mechanism will be applied</w:t>
      </w:r>
      <w:r>
        <w:rPr>
          <w:rFonts w:asciiTheme="minorHAnsi" w:hAnsiTheme="minorHAnsi" w:cstheme="minorHAnsi"/>
          <w:lang w:val="en-GB"/>
        </w:rPr>
        <w:t>,</w:t>
      </w:r>
      <w:r w:rsidRPr="00F62634">
        <w:rPr>
          <w:rFonts w:asciiTheme="minorHAnsi" w:hAnsiTheme="minorHAnsi" w:cstheme="minorHAnsi"/>
          <w:lang w:val="en-GB"/>
        </w:rPr>
        <w:t xml:space="preserve"> while the non-affected borders will remain coupled by implicit allocation.</w:t>
      </w:r>
    </w:p>
    <w:p w14:paraId="78E6C57A" w14:textId="14C425CE" w:rsidR="00712E26" w:rsidRPr="006C18A4" w:rsidRDefault="00F41D79" w:rsidP="006C18A4">
      <w:pPr>
        <w:pStyle w:val="Listaszerbekezds"/>
        <w:numPr>
          <w:ilvl w:val="0"/>
          <w:numId w:val="2"/>
        </w:numPr>
        <w:spacing w:after="240"/>
        <w:jc w:val="both"/>
        <w:rPr>
          <w:rFonts w:asciiTheme="minorHAnsi" w:hAnsiTheme="minorHAnsi" w:cstheme="minorHAnsi"/>
          <w:lang w:val="en-GB"/>
        </w:rPr>
      </w:pPr>
      <w:r>
        <w:rPr>
          <w:rFonts w:asciiTheme="minorHAnsi" w:hAnsiTheme="minorHAnsi" w:cstheme="minorHAnsi"/>
          <w:lang w:val="en-GB"/>
        </w:rPr>
        <w:t>As a Fallback mechanism in case market coupling fails, shadow explicit auctions will be operated by JAO on all affected borders.</w:t>
      </w:r>
    </w:p>
    <w:p w14:paraId="3B5E81AB" w14:textId="796EF69C" w:rsidR="002A756F" w:rsidRPr="002A756F" w:rsidRDefault="00C125BF" w:rsidP="36CD0169">
      <w:pPr>
        <w:jc w:val="both"/>
        <w:rPr>
          <w:rFonts w:cstheme="minorHAnsi"/>
          <w:b/>
          <w:bCs/>
          <w:sz w:val="20"/>
          <w:szCs w:val="20"/>
          <w:lang w:val="en-GB"/>
        </w:rPr>
      </w:pPr>
      <w:r>
        <w:rPr>
          <w:rFonts w:eastAsia="Times New Roman" w:cstheme="minorHAnsi"/>
          <w:b/>
          <w:bCs/>
          <w:color w:val="000000" w:themeColor="text1"/>
          <w:lang w:val="en-GB"/>
        </w:rPr>
        <w:t xml:space="preserve">How </w:t>
      </w:r>
      <w:r w:rsidR="002A756F">
        <w:rPr>
          <w:rFonts w:eastAsia="Times New Roman" w:cstheme="minorHAnsi"/>
          <w:b/>
          <w:bCs/>
          <w:color w:val="000000" w:themeColor="text1"/>
          <w:lang w:val="en-GB"/>
        </w:rPr>
        <w:t>will the market participant</w:t>
      </w:r>
      <w:r w:rsidR="00094826">
        <w:rPr>
          <w:rFonts w:eastAsia="Times New Roman" w:cstheme="minorHAnsi"/>
          <w:b/>
          <w:bCs/>
          <w:color w:val="000000" w:themeColor="text1"/>
          <w:lang w:val="en-GB"/>
        </w:rPr>
        <w:t>s</w:t>
      </w:r>
      <w:r w:rsidR="002A756F">
        <w:rPr>
          <w:rFonts w:eastAsia="Times New Roman" w:cstheme="minorHAnsi"/>
          <w:b/>
          <w:bCs/>
          <w:color w:val="000000" w:themeColor="text1"/>
          <w:lang w:val="en-GB"/>
        </w:rPr>
        <w:t xml:space="preserve"> </w:t>
      </w:r>
      <w:r>
        <w:rPr>
          <w:rFonts w:eastAsia="Times New Roman" w:cstheme="minorHAnsi"/>
          <w:b/>
          <w:bCs/>
          <w:color w:val="000000" w:themeColor="text1"/>
          <w:lang w:val="en-GB"/>
        </w:rPr>
        <w:t>be able</w:t>
      </w:r>
      <w:r w:rsidR="002A756F">
        <w:rPr>
          <w:rFonts w:eastAsia="Times New Roman" w:cstheme="minorHAnsi"/>
          <w:b/>
          <w:bCs/>
          <w:color w:val="000000" w:themeColor="text1"/>
          <w:lang w:val="en-GB"/>
        </w:rPr>
        <w:t xml:space="preserve"> to participate </w:t>
      </w:r>
      <w:r w:rsidR="00C57C4A">
        <w:rPr>
          <w:rFonts w:eastAsia="Times New Roman" w:cstheme="minorHAnsi"/>
          <w:b/>
          <w:bCs/>
          <w:color w:val="000000" w:themeColor="text1"/>
          <w:lang w:val="en-GB"/>
        </w:rPr>
        <w:t>in the testing?</w:t>
      </w:r>
    </w:p>
    <w:p w14:paraId="128C05FE" w14:textId="30F7AC25" w:rsidR="005B3261" w:rsidRDefault="00424990" w:rsidP="006C18A4">
      <w:pPr>
        <w:spacing w:after="240"/>
        <w:jc w:val="both"/>
        <w:rPr>
          <w:rFonts w:eastAsia="Times New Roman" w:cstheme="minorHAnsi"/>
          <w:color w:val="000000" w:themeColor="text1"/>
          <w:lang w:val="en-GB"/>
        </w:rPr>
      </w:pPr>
      <w:r w:rsidRPr="00280111">
        <w:rPr>
          <w:rFonts w:eastAsia="Times New Roman" w:cstheme="minorHAnsi"/>
          <w:color w:val="000000" w:themeColor="text1"/>
          <w:lang w:val="en-GB"/>
        </w:rPr>
        <w:t xml:space="preserve">A testing period </w:t>
      </w:r>
      <w:r w:rsidR="00F90112" w:rsidRPr="00280111">
        <w:rPr>
          <w:rFonts w:eastAsia="Times New Roman" w:cstheme="minorHAnsi"/>
          <w:color w:val="000000" w:themeColor="text1"/>
          <w:lang w:val="en-GB"/>
        </w:rPr>
        <w:t xml:space="preserve">with the </w:t>
      </w:r>
      <w:r w:rsidR="00E14538" w:rsidRPr="00280111">
        <w:rPr>
          <w:rFonts w:eastAsia="Times New Roman" w:cstheme="minorHAnsi"/>
          <w:color w:val="000000" w:themeColor="text1"/>
          <w:lang w:val="en-GB"/>
        </w:rPr>
        <w:t xml:space="preserve">inclusion </w:t>
      </w:r>
      <w:r w:rsidR="009F67CF" w:rsidRPr="00280111">
        <w:rPr>
          <w:rFonts w:eastAsia="Times New Roman" w:cstheme="minorHAnsi"/>
          <w:color w:val="000000" w:themeColor="text1"/>
          <w:lang w:val="en-GB"/>
        </w:rPr>
        <w:t>of</w:t>
      </w:r>
      <w:r w:rsidR="00E14538" w:rsidRPr="00280111">
        <w:rPr>
          <w:rFonts w:eastAsia="Times New Roman" w:cstheme="minorHAnsi"/>
          <w:color w:val="000000" w:themeColor="text1"/>
          <w:lang w:val="en-GB"/>
        </w:rPr>
        <w:t xml:space="preserve"> the market participants</w:t>
      </w:r>
      <w:r w:rsidR="00F90112" w:rsidRPr="00280111">
        <w:rPr>
          <w:rFonts w:eastAsia="Times New Roman" w:cstheme="minorHAnsi"/>
          <w:color w:val="000000" w:themeColor="text1"/>
          <w:lang w:val="en-GB"/>
        </w:rPr>
        <w:t xml:space="preserve"> </w:t>
      </w:r>
      <w:r w:rsidR="00883C88" w:rsidRPr="00280111">
        <w:rPr>
          <w:rFonts w:eastAsia="Times New Roman" w:cstheme="minorHAnsi"/>
          <w:color w:val="000000" w:themeColor="text1"/>
          <w:lang w:val="en-GB"/>
        </w:rPr>
        <w:t xml:space="preserve">is foreseen </w:t>
      </w:r>
      <w:r w:rsidR="003B53B3" w:rsidRPr="00280111">
        <w:rPr>
          <w:rFonts w:eastAsia="Times New Roman" w:cstheme="minorHAnsi"/>
          <w:color w:val="000000" w:themeColor="text1"/>
          <w:lang w:val="en-GB"/>
        </w:rPr>
        <w:t xml:space="preserve">with the duration of 2 weeks. During this period, the market participants will have the chance </w:t>
      </w:r>
      <w:r w:rsidR="00240D5A" w:rsidRPr="00280111">
        <w:rPr>
          <w:rFonts w:eastAsia="Times New Roman" w:cstheme="minorHAnsi"/>
          <w:color w:val="000000" w:themeColor="text1"/>
          <w:lang w:val="en-GB"/>
        </w:rPr>
        <w:t xml:space="preserve">to get an understanding of the </w:t>
      </w:r>
      <w:r w:rsidR="00066B3B" w:rsidRPr="00280111">
        <w:rPr>
          <w:rFonts w:eastAsia="Times New Roman" w:cstheme="minorHAnsi"/>
          <w:color w:val="000000" w:themeColor="text1"/>
          <w:lang w:val="en-GB"/>
        </w:rPr>
        <w:t>relevant procedures and the</w:t>
      </w:r>
      <w:r w:rsidR="007C747C" w:rsidRPr="00280111">
        <w:rPr>
          <w:rFonts w:eastAsia="Times New Roman" w:cstheme="minorHAnsi"/>
          <w:color w:val="000000" w:themeColor="text1"/>
          <w:lang w:val="en-GB"/>
        </w:rPr>
        <w:t xml:space="preserve"> timings that will be applied after the go-live. </w:t>
      </w:r>
      <w:r w:rsidR="008E3C7E">
        <w:rPr>
          <w:rFonts w:eastAsia="Times New Roman" w:cstheme="minorHAnsi"/>
          <w:color w:val="000000" w:themeColor="text1"/>
          <w:lang w:val="en-GB"/>
        </w:rPr>
        <w:t xml:space="preserve">This approach is identical to previous MRC-extension projects, such as the coupling of Slovenia or Croatia to MRC. </w:t>
      </w:r>
      <w:r w:rsidR="00C125BF">
        <w:rPr>
          <w:rFonts w:eastAsia="Times New Roman" w:cstheme="minorHAnsi"/>
          <w:color w:val="000000" w:themeColor="text1"/>
          <w:lang w:val="en-GB"/>
        </w:rPr>
        <w:t>The exact timeline for testing will be shared with market participants in due time.</w:t>
      </w:r>
    </w:p>
    <w:p w14:paraId="19079BD1" w14:textId="6EF80D5D" w:rsidR="003D0D96" w:rsidRPr="004809D6" w:rsidRDefault="004809D6" w:rsidP="36CD0169">
      <w:pPr>
        <w:jc w:val="both"/>
        <w:rPr>
          <w:rFonts w:eastAsia="Times New Roman" w:cstheme="minorHAnsi"/>
          <w:b/>
          <w:color w:val="000000" w:themeColor="text1"/>
          <w:lang w:val="en-GB"/>
        </w:rPr>
      </w:pPr>
      <w:r w:rsidRPr="004809D6">
        <w:rPr>
          <w:rFonts w:eastAsia="Times New Roman" w:cstheme="minorHAnsi"/>
          <w:b/>
          <w:color w:val="000000" w:themeColor="text1"/>
          <w:lang w:val="en-GB"/>
        </w:rPr>
        <w:t>In what ways market participants can get more information about the project?</w:t>
      </w:r>
    </w:p>
    <w:p w14:paraId="4DEF435C" w14:textId="3F4B4610" w:rsidR="004809D6" w:rsidRPr="004809D6" w:rsidRDefault="004809D6" w:rsidP="004809D6">
      <w:pPr>
        <w:pStyle w:val="Listaszerbekezds"/>
        <w:numPr>
          <w:ilvl w:val="0"/>
          <w:numId w:val="5"/>
        </w:numPr>
        <w:jc w:val="both"/>
        <w:rPr>
          <w:rFonts w:eastAsia="Times New Roman" w:cstheme="minorHAnsi"/>
          <w:color w:val="000000" w:themeColor="text1"/>
          <w:lang w:val="en-GB"/>
        </w:rPr>
      </w:pPr>
      <w:r w:rsidRPr="004809D6">
        <w:rPr>
          <w:rFonts w:eastAsia="Times New Roman" w:cstheme="minorHAnsi"/>
          <w:color w:val="000000" w:themeColor="text1"/>
          <w:lang w:val="en-GB"/>
        </w:rPr>
        <w:t xml:space="preserve">Project parties will continue to regularly publish </w:t>
      </w:r>
      <w:r w:rsidRPr="004809D6">
        <w:rPr>
          <w:rFonts w:eastAsia="Times New Roman" w:cstheme="minorHAnsi"/>
          <w:b/>
          <w:color w:val="000000" w:themeColor="text1"/>
          <w:lang w:val="en-GB"/>
        </w:rPr>
        <w:t>joint press releases</w:t>
      </w:r>
      <w:r w:rsidRPr="004809D6">
        <w:rPr>
          <w:rFonts w:eastAsia="Times New Roman" w:cstheme="minorHAnsi"/>
          <w:color w:val="000000" w:themeColor="text1"/>
          <w:lang w:val="en-GB"/>
        </w:rPr>
        <w:t xml:space="preserve"> when the main milestones of the project are reached, these press releases are available on project parties’ websites.</w:t>
      </w:r>
    </w:p>
    <w:p w14:paraId="144F3FB2" w14:textId="11ADEE07" w:rsidR="004809D6" w:rsidRPr="004809D6" w:rsidRDefault="004809D6" w:rsidP="004809D6">
      <w:pPr>
        <w:pStyle w:val="Listaszerbekezds"/>
        <w:numPr>
          <w:ilvl w:val="0"/>
          <w:numId w:val="5"/>
        </w:numPr>
        <w:jc w:val="both"/>
        <w:rPr>
          <w:rFonts w:eastAsia="Times New Roman" w:cstheme="minorHAnsi"/>
          <w:color w:val="000000" w:themeColor="text1"/>
          <w:lang w:val="en-GB"/>
        </w:rPr>
      </w:pPr>
      <w:r w:rsidRPr="004809D6">
        <w:rPr>
          <w:rFonts w:eastAsia="Times New Roman" w:cstheme="minorHAnsi"/>
          <w:color w:val="000000" w:themeColor="text1"/>
          <w:lang w:val="en-GB"/>
        </w:rPr>
        <w:t xml:space="preserve">This </w:t>
      </w:r>
      <w:r w:rsidRPr="004809D6">
        <w:rPr>
          <w:rFonts w:eastAsia="Times New Roman" w:cstheme="minorHAnsi"/>
          <w:b/>
          <w:color w:val="000000" w:themeColor="text1"/>
          <w:lang w:val="en-GB"/>
        </w:rPr>
        <w:t>information paper</w:t>
      </w:r>
      <w:r w:rsidRPr="004809D6">
        <w:rPr>
          <w:rFonts w:eastAsia="Times New Roman" w:cstheme="minorHAnsi"/>
          <w:color w:val="000000" w:themeColor="text1"/>
          <w:lang w:val="en-GB"/>
        </w:rPr>
        <w:t xml:space="preserve"> will also be published on project parties’ websites and will be regularly updated with any new information that can be useful for the market participants.</w:t>
      </w:r>
      <w:r w:rsidR="00DA012F">
        <w:rPr>
          <w:rFonts w:eastAsia="Times New Roman" w:cstheme="minorHAnsi"/>
          <w:color w:val="000000" w:themeColor="text1"/>
          <w:lang w:val="en-GB"/>
        </w:rPr>
        <w:t xml:space="preserve"> Market participants will be duly informed about updates in this information paper.</w:t>
      </w:r>
    </w:p>
    <w:p w14:paraId="010FF400" w14:textId="774ECC61" w:rsidR="004809D6" w:rsidRDefault="004809D6" w:rsidP="004809D6">
      <w:pPr>
        <w:pStyle w:val="Listaszerbekezds"/>
        <w:numPr>
          <w:ilvl w:val="0"/>
          <w:numId w:val="5"/>
        </w:numPr>
        <w:jc w:val="both"/>
        <w:rPr>
          <w:rFonts w:eastAsia="Times New Roman" w:cstheme="minorHAnsi"/>
          <w:color w:val="000000" w:themeColor="text1"/>
          <w:lang w:val="en-GB"/>
        </w:rPr>
      </w:pPr>
      <w:r w:rsidRPr="004809D6">
        <w:rPr>
          <w:rFonts w:eastAsia="Times New Roman" w:cstheme="minorHAnsi"/>
          <w:color w:val="000000" w:themeColor="text1"/>
          <w:lang w:val="en-GB"/>
        </w:rPr>
        <w:lastRenderedPageBreak/>
        <w:t xml:space="preserve">Information on the project status to the representatives of market participants will be </w:t>
      </w:r>
      <w:bookmarkStart w:id="0" w:name="_GoBack"/>
      <w:bookmarkEnd w:id="0"/>
      <w:r w:rsidRPr="004809D6">
        <w:rPr>
          <w:rFonts w:eastAsia="Times New Roman" w:cstheme="minorHAnsi"/>
          <w:color w:val="000000" w:themeColor="text1"/>
          <w:lang w:val="en-GB"/>
        </w:rPr>
        <w:t xml:space="preserve">provided during the </w:t>
      </w:r>
      <w:r w:rsidRPr="004809D6">
        <w:rPr>
          <w:rFonts w:eastAsia="Times New Roman" w:cstheme="minorHAnsi"/>
          <w:b/>
          <w:color w:val="000000" w:themeColor="text1"/>
          <w:lang w:val="en-GB"/>
        </w:rPr>
        <w:t>MESC meetings</w:t>
      </w:r>
      <w:r w:rsidRPr="004809D6">
        <w:rPr>
          <w:rFonts w:eastAsia="Times New Roman" w:cstheme="minorHAnsi"/>
          <w:color w:val="000000" w:themeColor="text1"/>
          <w:lang w:val="en-GB"/>
        </w:rPr>
        <w:t>.</w:t>
      </w:r>
    </w:p>
    <w:p w14:paraId="1CB1028B" w14:textId="5B6C7F8A" w:rsidR="004809D6" w:rsidRDefault="00C125BF" w:rsidP="36CD0169">
      <w:pPr>
        <w:pStyle w:val="Listaszerbekezds"/>
        <w:numPr>
          <w:ilvl w:val="0"/>
          <w:numId w:val="5"/>
        </w:numPr>
        <w:jc w:val="both"/>
        <w:rPr>
          <w:rFonts w:eastAsia="Times New Roman" w:cstheme="minorHAnsi"/>
          <w:color w:val="000000" w:themeColor="text1"/>
          <w:lang w:val="en-GB"/>
        </w:rPr>
      </w:pPr>
      <w:r w:rsidRPr="006C18A4">
        <w:rPr>
          <w:rFonts w:eastAsia="Times New Roman" w:cstheme="minorHAnsi"/>
          <w:b/>
          <w:color w:val="000000" w:themeColor="text1"/>
          <w:lang w:val="en-GB"/>
        </w:rPr>
        <w:t>W</w:t>
      </w:r>
      <w:r w:rsidR="004809D6" w:rsidRPr="004809D6">
        <w:rPr>
          <w:rFonts w:eastAsia="Times New Roman" w:cstheme="minorHAnsi"/>
          <w:b/>
          <w:color w:val="000000" w:themeColor="text1"/>
          <w:lang w:val="en-GB"/>
        </w:rPr>
        <w:t>orkshop</w:t>
      </w:r>
      <w:r w:rsidR="003E44FC">
        <w:rPr>
          <w:rFonts w:eastAsia="Times New Roman" w:cstheme="minorHAnsi"/>
          <w:b/>
          <w:color w:val="000000" w:themeColor="text1"/>
          <w:lang w:val="en-GB"/>
        </w:rPr>
        <w:t>s</w:t>
      </w:r>
      <w:r w:rsidR="004809D6">
        <w:rPr>
          <w:rFonts w:eastAsia="Times New Roman" w:cstheme="minorHAnsi"/>
          <w:color w:val="000000" w:themeColor="text1"/>
          <w:lang w:val="en-GB"/>
        </w:rPr>
        <w:t xml:space="preserve"> for market participants </w:t>
      </w:r>
      <w:r>
        <w:rPr>
          <w:rFonts w:eastAsia="Times New Roman" w:cstheme="minorHAnsi"/>
          <w:color w:val="000000" w:themeColor="text1"/>
          <w:lang w:val="en-GB"/>
        </w:rPr>
        <w:t>are planned to be organized before the testing period, as well as before go-live</w:t>
      </w:r>
      <w:r w:rsidR="004809D6">
        <w:rPr>
          <w:rFonts w:eastAsia="Times New Roman" w:cstheme="minorHAnsi"/>
          <w:color w:val="000000" w:themeColor="text1"/>
          <w:lang w:val="en-GB"/>
        </w:rPr>
        <w:t xml:space="preserve">. </w:t>
      </w:r>
    </w:p>
    <w:p w14:paraId="2960D1CA" w14:textId="77777777" w:rsidR="004809D6" w:rsidRPr="004809D6" w:rsidRDefault="004809D6" w:rsidP="004809D6">
      <w:pPr>
        <w:pStyle w:val="Listaszerbekezds"/>
        <w:jc w:val="both"/>
        <w:rPr>
          <w:rFonts w:eastAsia="Times New Roman" w:cstheme="minorHAnsi"/>
          <w:color w:val="000000" w:themeColor="text1"/>
          <w:lang w:val="en-GB"/>
        </w:rPr>
      </w:pPr>
    </w:p>
    <w:p w14:paraId="3616FC9D" w14:textId="0BEFA3D3" w:rsidR="00BF5C1B" w:rsidRPr="00E452FA" w:rsidRDefault="003D0D96" w:rsidP="36CD0169">
      <w:pPr>
        <w:jc w:val="both"/>
        <w:rPr>
          <w:b/>
          <w:lang w:val="en-GB"/>
        </w:rPr>
      </w:pPr>
      <w:r w:rsidRPr="003D0D96">
        <w:rPr>
          <w:b/>
          <w:lang w:val="en-GB"/>
        </w:rPr>
        <w:t>High-level</w:t>
      </w:r>
      <w:r w:rsidR="00BF5C1B">
        <w:rPr>
          <w:b/>
          <w:lang w:val="en-GB"/>
        </w:rPr>
        <w:t xml:space="preserve"> overview of the technical concept and </w:t>
      </w:r>
      <w:r w:rsidRPr="003D0D96">
        <w:rPr>
          <w:b/>
          <w:lang w:val="en-GB"/>
        </w:rPr>
        <w:t>design</w:t>
      </w:r>
    </w:p>
    <w:p w14:paraId="4272CE38" w14:textId="51DF0956" w:rsidR="00BF5C1B" w:rsidRDefault="00BF5C1B" w:rsidP="36CD0169">
      <w:pPr>
        <w:jc w:val="both"/>
        <w:rPr>
          <w:lang w:val="en-GB"/>
        </w:rPr>
      </w:pPr>
      <w:r>
        <w:rPr>
          <w:lang w:val="en-GB"/>
        </w:rPr>
        <w:t>TSOs participating in the project have decide</w:t>
      </w:r>
      <w:r w:rsidR="00E452FA">
        <w:rPr>
          <w:lang w:val="en-GB"/>
        </w:rPr>
        <w:t xml:space="preserve">d to use a </w:t>
      </w:r>
      <w:r w:rsidR="00E452FA" w:rsidRPr="00E452FA">
        <w:rPr>
          <w:b/>
          <w:lang w:val="en-GB"/>
        </w:rPr>
        <w:t>DE-AT-PL-4M MC joint TSO system</w:t>
      </w:r>
      <w:r>
        <w:rPr>
          <w:lang w:val="en-GB"/>
        </w:rPr>
        <w:t xml:space="preserve"> which will</w:t>
      </w:r>
      <w:r w:rsidR="00E452FA">
        <w:rPr>
          <w:lang w:val="en-GB"/>
        </w:rPr>
        <w:t xml:space="preserve"> be the </w:t>
      </w:r>
      <w:r w:rsidR="00E452FA">
        <w:rPr>
          <w:szCs w:val="18"/>
          <w:lang w:val="en-US"/>
        </w:rPr>
        <w:t>centralized solution for pre- and post-coupling processes for TSOs.</w:t>
      </w:r>
      <w:r>
        <w:rPr>
          <w:lang w:val="en-GB"/>
        </w:rPr>
        <w:t xml:space="preserve"> </w:t>
      </w:r>
      <w:r w:rsidR="00E452FA">
        <w:rPr>
          <w:lang w:val="en-GB"/>
        </w:rPr>
        <w:t xml:space="preserve">This system will be an enhanced version of the Modified TSO Management Function (mTMF), which is currently used in 4MMC. mTMF will have two modules: the mTMF module itself will be the interface towards TSOs, while data exchange with NEMOs will be performed via the TSO Cloud module of mTMF. The mTMF will be responsible for the collection of capacity values (ATCs) from individual TSOs for the DE-AT-PL-4M borders, for determining the harmonized ATC parameters and then submitting the final offered capacities (ATCs) to the DE-AT-PL-4M NEMOs. mTMF will also receive the market coupling results from NEMOs, perform the validation of results against the provided ATCs, and provide result files to TSOs. </w:t>
      </w:r>
    </w:p>
    <w:p w14:paraId="036C835D" w14:textId="0C39E4A2" w:rsidR="00E452FA" w:rsidRDefault="00E452FA" w:rsidP="36CD0169">
      <w:pPr>
        <w:jc w:val="both"/>
        <w:rPr>
          <w:lang w:val="en-GB"/>
        </w:rPr>
      </w:pPr>
      <w:r>
        <w:rPr>
          <w:lang w:val="en-GB"/>
        </w:rPr>
        <w:t xml:space="preserve">The following </w:t>
      </w:r>
      <w:r w:rsidRPr="00E452FA">
        <w:rPr>
          <w:b/>
          <w:lang w:val="en-GB"/>
        </w:rPr>
        <w:t>main activities</w:t>
      </w:r>
      <w:r>
        <w:rPr>
          <w:lang w:val="en-GB"/>
        </w:rPr>
        <w:t xml:space="preserve"> will be performed with regard to DE-AT-PL-4M borders </w:t>
      </w:r>
      <w:r w:rsidRPr="00E452FA">
        <w:rPr>
          <w:b/>
          <w:lang w:val="en-GB"/>
        </w:rPr>
        <w:t>during the different phases of market coupling</w:t>
      </w:r>
      <w:r>
        <w:rPr>
          <w:lang w:val="en-GB"/>
        </w:rPr>
        <w:t>:</w:t>
      </w:r>
    </w:p>
    <w:p w14:paraId="2A296485" w14:textId="02879504" w:rsidR="003D0D96" w:rsidRPr="00E452FA" w:rsidRDefault="00053132" w:rsidP="00E452FA">
      <w:pPr>
        <w:pStyle w:val="Listaszerbekezds"/>
        <w:numPr>
          <w:ilvl w:val="0"/>
          <w:numId w:val="4"/>
        </w:numPr>
        <w:jc w:val="both"/>
        <w:rPr>
          <w:b/>
          <w:i/>
          <w:lang w:val="en-GB"/>
        </w:rPr>
      </w:pPr>
      <w:r w:rsidRPr="00E452FA">
        <w:rPr>
          <w:b/>
          <w:i/>
          <w:lang w:val="en-GB"/>
        </w:rPr>
        <w:t>Pre-coupling:</w:t>
      </w:r>
    </w:p>
    <w:p w14:paraId="62B5EA9E" w14:textId="17F76F1C" w:rsidR="00053132" w:rsidRDefault="002B6318" w:rsidP="00053132">
      <w:pPr>
        <w:pStyle w:val="Listaszerbekezds"/>
        <w:numPr>
          <w:ilvl w:val="0"/>
          <w:numId w:val="3"/>
        </w:numPr>
        <w:jc w:val="both"/>
        <w:rPr>
          <w:lang w:val="en-GB"/>
        </w:rPr>
      </w:pPr>
      <w:r>
        <w:rPr>
          <w:lang w:val="en-GB"/>
        </w:rPr>
        <w:t>Available Transmission C</w:t>
      </w:r>
      <w:r w:rsidR="00053132">
        <w:rPr>
          <w:lang w:val="en-GB"/>
        </w:rPr>
        <w:t>apacities</w:t>
      </w:r>
      <w:r w:rsidR="00E452FA">
        <w:rPr>
          <w:lang w:val="en-GB"/>
        </w:rPr>
        <w:t xml:space="preserve"> (ATCs)</w:t>
      </w:r>
      <w:r w:rsidR="00053132">
        <w:rPr>
          <w:lang w:val="en-GB"/>
        </w:rPr>
        <w:t xml:space="preserve"> are calculated by TSOs and submitted to the DE-AT-PL-4M joint TSO system (mTMF).</w:t>
      </w:r>
      <w:r w:rsidR="00994F9B">
        <w:rPr>
          <w:lang w:val="en-GB"/>
        </w:rPr>
        <w:t xml:space="preserve"> Current technical profiles at the borders of CZ, DE, PL, SK remain. </w:t>
      </w:r>
    </w:p>
    <w:p w14:paraId="3659443F" w14:textId="5170FB88" w:rsidR="00053132" w:rsidRDefault="00EA3F01" w:rsidP="00053132">
      <w:pPr>
        <w:pStyle w:val="Listaszerbekezds"/>
        <w:numPr>
          <w:ilvl w:val="0"/>
          <w:numId w:val="3"/>
        </w:numPr>
        <w:jc w:val="both"/>
        <w:rPr>
          <w:lang w:val="en-GB"/>
        </w:rPr>
      </w:pPr>
      <w:r>
        <w:rPr>
          <w:lang w:val="en-GB"/>
        </w:rPr>
        <w:t>mTMF</w:t>
      </w:r>
      <w:r w:rsidR="00053132">
        <w:rPr>
          <w:lang w:val="en-GB"/>
        </w:rPr>
        <w:t xml:space="preserve"> </w:t>
      </w:r>
      <w:r>
        <w:rPr>
          <w:lang w:val="en-GB"/>
        </w:rPr>
        <w:t>determines the</w:t>
      </w:r>
      <w:r w:rsidR="00053132">
        <w:rPr>
          <w:lang w:val="en-GB"/>
        </w:rPr>
        <w:t xml:space="preserve"> </w:t>
      </w:r>
      <w:r>
        <w:rPr>
          <w:lang w:val="en-GB"/>
        </w:rPr>
        <w:t>final ATC values</w:t>
      </w:r>
      <w:r w:rsidR="00053132">
        <w:rPr>
          <w:lang w:val="en-GB"/>
        </w:rPr>
        <w:t xml:space="preserve"> for all borders based on the lower value principle.</w:t>
      </w:r>
    </w:p>
    <w:p w14:paraId="5EF65B91" w14:textId="368D2D02" w:rsidR="00327D9E" w:rsidRDefault="00327D9E" w:rsidP="00053132">
      <w:pPr>
        <w:pStyle w:val="Listaszerbekezds"/>
        <w:numPr>
          <w:ilvl w:val="0"/>
          <w:numId w:val="3"/>
        </w:numPr>
        <w:jc w:val="both"/>
        <w:rPr>
          <w:lang w:val="en-GB"/>
        </w:rPr>
      </w:pPr>
      <w:r>
        <w:rPr>
          <w:lang w:val="en-GB"/>
        </w:rPr>
        <w:t>Capacity values (ATCs) are published on the ENTSO-E Transparency Platform, on JAO’s website, on the mTMF website and optionally on NEMOs’ websites.</w:t>
      </w:r>
    </w:p>
    <w:p w14:paraId="1292D3B0" w14:textId="49D7D4CA" w:rsidR="00053132" w:rsidRDefault="00EA3F01" w:rsidP="00053132">
      <w:pPr>
        <w:pStyle w:val="Listaszerbekezds"/>
        <w:numPr>
          <w:ilvl w:val="0"/>
          <w:numId w:val="3"/>
        </w:numPr>
        <w:jc w:val="both"/>
        <w:rPr>
          <w:lang w:val="en-GB"/>
        </w:rPr>
      </w:pPr>
      <w:r>
        <w:rPr>
          <w:lang w:val="en-GB"/>
        </w:rPr>
        <w:t>TSO Cloud</w:t>
      </w:r>
      <w:r w:rsidR="00053132">
        <w:rPr>
          <w:lang w:val="en-GB"/>
        </w:rPr>
        <w:t xml:space="preserve"> </w:t>
      </w:r>
      <w:r w:rsidR="00327D9E">
        <w:rPr>
          <w:lang w:val="en-GB"/>
        </w:rPr>
        <w:t>provides</w:t>
      </w:r>
      <w:r w:rsidR="00053132">
        <w:rPr>
          <w:lang w:val="en-GB"/>
        </w:rPr>
        <w:t xml:space="preserve"> the final cross-zonal capacities to </w:t>
      </w:r>
      <w:r>
        <w:rPr>
          <w:lang w:val="en-GB"/>
        </w:rPr>
        <w:t>DE-AT-PL-4M</w:t>
      </w:r>
      <w:r w:rsidR="00053132">
        <w:rPr>
          <w:lang w:val="en-GB"/>
        </w:rPr>
        <w:t xml:space="preserve"> NEMOs.</w:t>
      </w:r>
    </w:p>
    <w:p w14:paraId="57F0DFBD" w14:textId="2681E5C2" w:rsidR="00053132" w:rsidRDefault="00327D9E" w:rsidP="00053132">
      <w:pPr>
        <w:pStyle w:val="Listaszerbekezds"/>
        <w:numPr>
          <w:ilvl w:val="0"/>
          <w:numId w:val="3"/>
        </w:numPr>
        <w:jc w:val="both"/>
        <w:rPr>
          <w:lang w:val="en-GB"/>
        </w:rPr>
      </w:pPr>
      <w:r>
        <w:rPr>
          <w:lang w:val="en-GB"/>
        </w:rPr>
        <w:t>NEMOs collect the orders from market participants</w:t>
      </w:r>
      <w:r w:rsidR="00EA3F01">
        <w:rPr>
          <w:lang w:val="en-GB"/>
        </w:rPr>
        <w:t xml:space="preserve"> and aggregate them after the Gate Closure Time</w:t>
      </w:r>
      <w:r w:rsidR="00053132">
        <w:rPr>
          <w:lang w:val="en-GB"/>
        </w:rPr>
        <w:t>.</w:t>
      </w:r>
      <w:r w:rsidR="00994F9B">
        <w:rPr>
          <w:lang w:val="en-GB"/>
        </w:rPr>
        <w:t xml:space="preserve"> Multiple NEMO arrangements (MNA) where implemented will be considered.</w:t>
      </w:r>
    </w:p>
    <w:p w14:paraId="756C4CAC" w14:textId="4762B77D" w:rsidR="00BF5C1B" w:rsidRDefault="00EA3F01" w:rsidP="00BF5C1B">
      <w:pPr>
        <w:pStyle w:val="Listaszerbekezds"/>
        <w:numPr>
          <w:ilvl w:val="0"/>
          <w:numId w:val="3"/>
        </w:numPr>
        <w:jc w:val="both"/>
        <w:rPr>
          <w:lang w:val="en-GB"/>
        </w:rPr>
      </w:pPr>
      <w:r>
        <w:rPr>
          <w:lang w:val="en-GB"/>
        </w:rPr>
        <w:t>DE-AT-PL-4M</w:t>
      </w:r>
      <w:r w:rsidR="00053132">
        <w:rPr>
          <w:lang w:val="en-GB"/>
        </w:rPr>
        <w:t xml:space="preserve"> NEMOs submit cross-zonal capacities and Order Books to PCR Cloud.</w:t>
      </w:r>
    </w:p>
    <w:p w14:paraId="1616CD0B" w14:textId="77777777" w:rsidR="00BF5C1B" w:rsidRPr="00E452FA" w:rsidRDefault="00BF5C1B" w:rsidP="00BF5C1B">
      <w:pPr>
        <w:pStyle w:val="Listaszerbekezds"/>
        <w:jc w:val="both"/>
        <w:rPr>
          <w:lang w:val="en-GB"/>
        </w:rPr>
      </w:pPr>
    </w:p>
    <w:p w14:paraId="04C9D454" w14:textId="42D77E8A" w:rsidR="00053132" w:rsidRPr="00E452FA" w:rsidRDefault="00053132" w:rsidP="00DB4392">
      <w:pPr>
        <w:pStyle w:val="Listaszerbekezds"/>
        <w:keepNext/>
        <w:numPr>
          <w:ilvl w:val="0"/>
          <w:numId w:val="4"/>
        </w:numPr>
        <w:ind w:left="714" w:hanging="357"/>
        <w:jc w:val="both"/>
        <w:rPr>
          <w:b/>
          <w:i/>
          <w:lang w:val="en-GB"/>
        </w:rPr>
      </w:pPr>
      <w:r w:rsidRPr="00E452FA">
        <w:rPr>
          <w:b/>
          <w:i/>
          <w:lang w:val="en-GB"/>
        </w:rPr>
        <w:t>Coupling:</w:t>
      </w:r>
    </w:p>
    <w:p w14:paraId="7244309C" w14:textId="24C1F676" w:rsidR="00053132" w:rsidRDefault="00053132" w:rsidP="00DB4392">
      <w:pPr>
        <w:pStyle w:val="Listaszerbekezds"/>
        <w:keepNext/>
        <w:numPr>
          <w:ilvl w:val="0"/>
          <w:numId w:val="3"/>
        </w:numPr>
        <w:ind w:left="714" w:hanging="357"/>
        <w:jc w:val="both"/>
        <w:rPr>
          <w:lang w:val="en-GB"/>
        </w:rPr>
      </w:pPr>
      <w:r>
        <w:rPr>
          <w:lang w:val="en-GB"/>
        </w:rPr>
        <w:t xml:space="preserve">EUPHEMIA </w:t>
      </w:r>
      <w:r w:rsidR="00EA3F01">
        <w:rPr>
          <w:lang w:val="en-GB"/>
        </w:rPr>
        <w:t xml:space="preserve">algorithm </w:t>
      </w:r>
      <w:r>
        <w:rPr>
          <w:lang w:val="en-GB"/>
        </w:rPr>
        <w:t>calculates the market coupling results</w:t>
      </w:r>
      <w:r w:rsidR="00EA3F01">
        <w:rPr>
          <w:lang w:val="en-GB"/>
        </w:rPr>
        <w:t xml:space="preserve"> (taking into account the cross-border capacities and the Order Books submitted by NEMOs) and PCR C</w:t>
      </w:r>
      <w:r>
        <w:rPr>
          <w:lang w:val="en-GB"/>
        </w:rPr>
        <w:t xml:space="preserve">loud provides the preliminary results to NEMOs. </w:t>
      </w:r>
    </w:p>
    <w:p w14:paraId="45813E06" w14:textId="17C4589E" w:rsidR="00053132" w:rsidRDefault="00053132" w:rsidP="00DB4392">
      <w:pPr>
        <w:pStyle w:val="Listaszerbekezds"/>
        <w:keepNext/>
        <w:numPr>
          <w:ilvl w:val="0"/>
          <w:numId w:val="3"/>
        </w:numPr>
        <w:ind w:left="714" w:hanging="357"/>
        <w:jc w:val="both"/>
        <w:rPr>
          <w:lang w:val="en-GB"/>
        </w:rPr>
      </w:pPr>
      <w:r>
        <w:rPr>
          <w:lang w:val="en-GB"/>
        </w:rPr>
        <w:t xml:space="preserve">The NEMO in the role of </w:t>
      </w:r>
      <w:r w:rsidR="00EA3F01">
        <w:rPr>
          <w:lang w:val="en-GB"/>
        </w:rPr>
        <w:t xml:space="preserve">regional coordinator </w:t>
      </w:r>
      <w:r>
        <w:rPr>
          <w:lang w:val="en-GB"/>
        </w:rPr>
        <w:t xml:space="preserve">submits the preliminary results to the </w:t>
      </w:r>
      <w:r w:rsidR="00EA3F01">
        <w:rPr>
          <w:lang w:val="en-GB"/>
        </w:rPr>
        <w:t>TSO Cloud</w:t>
      </w:r>
      <w:r>
        <w:rPr>
          <w:lang w:val="en-GB"/>
        </w:rPr>
        <w:t>.</w:t>
      </w:r>
    </w:p>
    <w:p w14:paraId="3D5A2743" w14:textId="61300759" w:rsidR="00053132" w:rsidRDefault="00EA3F01" w:rsidP="00DB4392">
      <w:pPr>
        <w:pStyle w:val="Listaszerbekezds"/>
        <w:keepNext/>
        <w:numPr>
          <w:ilvl w:val="0"/>
          <w:numId w:val="3"/>
        </w:numPr>
        <w:ind w:left="714" w:hanging="357"/>
        <w:jc w:val="both"/>
        <w:rPr>
          <w:lang w:val="en-GB"/>
        </w:rPr>
      </w:pPr>
      <w:r>
        <w:rPr>
          <w:lang w:val="en-GB"/>
        </w:rPr>
        <w:t>TSO Cloud</w:t>
      </w:r>
      <w:r w:rsidR="00053132">
        <w:rPr>
          <w:lang w:val="en-GB"/>
        </w:rPr>
        <w:t xml:space="preserve"> carries out the validation of results and provides the confirmation to NEMOs.</w:t>
      </w:r>
    </w:p>
    <w:p w14:paraId="7C85777B" w14:textId="79C500C9" w:rsidR="00053132" w:rsidRDefault="00053132" w:rsidP="00DB4392">
      <w:pPr>
        <w:pStyle w:val="Listaszerbekezds"/>
        <w:keepNext/>
        <w:numPr>
          <w:ilvl w:val="0"/>
          <w:numId w:val="3"/>
        </w:numPr>
        <w:ind w:left="714" w:hanging="357"/>
        <w:jc w:val="both"/>
        <w:rPr>
          <w:lang w:val="en-GB"/>
        </w:rPr>
      </w:pPr>
      <w:r>
        <w:rPr>
          <w:lang w:val="en-GB"/>
        </w:rPr>
        <w:t>NEMOs provide final confirmation to PCR Cloud.</w:t>
      </w:r>
    </w:p>
    <w:p w14:paraId="2018FD95" w14:textId="6FB5D9CB" w:rsidR="00053132" w:rsidRDefault="00053132" w:rsidP="00DB4392">
      <w:pPr>
        <w:pStyle w:val="Listaszerbekezds"/>
        <w:keepNext/>
        <w:numPr>
          <w:ilvl w:val="0"/>
          <w:numId w:val="3"/>
        </w:numPr>
        <w:ind w:left="714" w:hanging="357"/>
        <w:jc w:val="both"/>
        <w:rPr>
          <w:lang w:val="en-GB"/>
        </w:rPr>
      </w:pPr>
      <w:r>
        <w:rPr>
          <w:lang w:val="en-GB"/>
        </w:rPr>
        <w:t xml:space="preserve">PCR Cloud issues Global Final Confirmation, which is then forwarded by the </w:t>
      </w:r>
      <w:r w:rsidR="00EA3F01">
        <w:rPr>
          <w:lang w:val="en-GB"/>
        </w:rPr>
        <w:t>NEMO in the role of regional coordinator</w:t>
      </w:r>
      <w:r>
        <w:rPr>
          <w:lang w:val="en-GB"/>
        </w:rPr>
        <w:t xml:space="preserve"> to the </w:t>
      </w:r>
      <w:r w:rsidR="00EA3F01">
        <w:rPr>
          <w:lang w:val="en-GB"/>
        </w:rPr>
        <w:t>TSO Cloud</w:t>
      </w:r>
      <w:r>
        <w:rPr>
          <w:lang w:val="en-GB"/>
        </w:rPr>
        <w:t xml:space="preserve">. </w:t>
      </w:r>
    </w:p>
    <w:p w14:paraId="5D70872B" w14:textId="79531282" w:rsidR="00327D9E" w:rsidRDefault="00327D9E" w:rsidP="00DB4392">
      <w:pPr>
        <w:pStyle w:val="Listaszerbekezds"/>
        <w:keepNext/>
        <w:numPr>
          <w:ilvl w:val="0"/>
          <w:numId w:val="3"/>
        </w:numPr>
        <w:ind w:left="714" w:hanging="357"/>
        <w:jc w:val="both"/>
        <w:rPr>
          <w:lang w:val="en-GB"/>
        </w:rPr>
      </w:pPr>
      <w:r>
        <w:rPr>
          <w:lang w:val="en-GB"/>
        </w:rPr>
        <w:t xml:space="preserve">NEMOs publish the final market coupling results. </w:t>
      </w:r>
    </w:p>
    <w:p w14:paraId="03C4E91B" w14:textId="77777777" w:rsidR="00BF5C1B" w:rsidRPr="006C18A4" w:rsidRDefault="00BF5C1B" w:rsidP="006C18A4">
      <w:pPr>
        <w:jc w:val="both"/>
        <w:rPr>
          <w:lang w:val="en-GB"/>
        </w:rPr>
      </w:pPr>
    </w:p>
    <w:p w14:paraId="18BD369F" w14:textId="17190DDC" w:rsidR="00053132" w:rsidRPr="00E452FA" w:rsidRDefault="00053132" w:rsidP="001A29DE">
      <w:pPr>
        <w:pStyle w:val="Listaszerbekezds"/>
        <w:keepNext/>
        <w:numPr>
          <w:ilvl w:val="0"/>
          <w:numId w:val="4"/>
        </w:numPr>
        <w:ind w:left="714" w:hanging="357"/>
        <w:jc w:val="both"/>
        <w:rPr>
          <w:b/>
          <w:i/>
          <w:lang w:val="en-GB"/>
        </w:rPr>
      </w:pPr>
      <w:r w:rsidRPr="00E452FA">
        <w:rPr>
          <w:b/>
          <w:i/>
          <w:lang w:val="en-GB"/>
        </w:rPr>
        <w:t>Post-coupling:</w:t>
      </w:r>
    </w:p>
    <w:p w14:paraId="02FA055C" w14:textId="0A6E368E" w:rsidR="00327D9E" w:rsidRDefault="00327D9E" w:rsidP="001A29DE">
      <w:pPr>
        <w:pStyle w:val="Listaszerbekezds"/>
        <w:keepNext/>
        <w:numPr>
          <w:ilvl w:val="0"/>
          <w:numId w:val="3"/>
        </w:numPr>
        <w:ind w:left="714" w:hanging="357"/>
        <w:jc w:val="both"/>
        <w:rPr>
          <w:lang w:val="en-GB"/>
        </w:rPr>
      </w:pPr>
      <w:r>
        <w:rPr>
          <w:lang w:val="en-GB"/>
        </w:rPr>
        <w:t xml:space="preserve">Local clearing and settlement </w:t>
      </w:r>
      <w:r w:rsidR="003E44FC">
        <w:rPr>
          <w:lang w:val="en-GB"/>
        </w:rPr>
        <w:t xml:space="preserve">are </w:t>
      </w:r>
      <w:r>
        <w:rPr>
          <w:lang w:val="en-GB"/>
        </w:rPr>
        <w:t>performed by NEMOs acting as Central Counter Parties (CCP) or by entities contracted by NEMOs as a local CCP.</w:t>
      </w:r>
    </w:p>
    <w:p w14:paraId="420CD81B" w14:textId="01CB69DD" w:rsidR="00327D9E" w:rsidRDefault="00327D9E" w:rsidP="001A29DE">
      <w:pPr>
        <w:pStyle w:val="Listaszerbekezds"/>
        <w:keepNext/>
        <w:numPr>
          <w:ilvl w:val="0"/>
          <w:numId w:val="3"/>
        </w:numPr>
        <w:ind w:left="714" w:hanging="357"/>
        <w:jc w:val="both"/>
        <w:rPr>
          <w:lang w:val="en-GB"/>
        </w:rPr>
      </w:pPr>
      <w:r>
        <w:rPr>
          <w:lang w:val="en-GB"/>
        </w:rPr>
        <w:t>Settlement results are provided by NEMOs to market participants and Shipping Agents.</w:t>
      </w:r>
    </w:p>
    <w:p w14:paraId="5C551372" w14:textId="34AB3295" w:rsidR="00053132" w:rsidRDefault="00053132" w:rsidP="001A29DE">
      <w:pPr>
        <w:pStyle w:val="Listaszerbekezds"/>
        <w:keepNext/>
        <w:numPr>
          <w:ilvl w:val="0"/>
          <w:numId w:val="3"/>
        </w:numPr>
        <w:ind w:left="714" w:hanging="357"/>
        <w:jc w:val="both"/>
        <w:rPr>
          <w:lang w:val="en-GB"/>
        </w:rPr>
      </w:pPr>
      <w:r>
        <w:rPr>
          <w:lang w:val="en-GB"/>
        </w:rPr>
        <w:t xml:space="preserve">Market coupling results (cross-border flows and prices) are submitted by the </w:t>
      </w:r>
      <w:r w:rsidR="00EA3F01">
        <w:rPr>
          <w:lang w:val="en-GB"/>
        </w:rPr>
        <w:t>mTMF</w:t>
      </w:r>
      <w:r>
        <w:rPr>
          <w:lang w:val="en-GB"/>
        </w:rPr>
        <w:t xml:space="preserve"> to the individual TSOs. </w:t>
      </w:r>
    </w:p>
    <w:p w14:paraId="2C711E9E" w14:textId="3A8307B5" w:rsidR="00053132" w:rsidRDefault="00327D9E" w:rsidP="001A29DE">
      <w:pPr>
        <w:pStyle w:val="Listaszerbekezds"/>
        <w:keepNext/>
        <w:numPr>
          <w:ilvl w:val="0"/>
          <w:numId w:val="3"/>
        </w:numPr>
        <w:ind w:left="714" w:hanging="357"/>
        <w:jc w:val="both"/>
        <w:rPr>
          <w:lang w:val="en-GB"/>
        </w:rPr>
      </w:pPr>
      <w:r>
        <w:rPr>
          <w:lang w:val="en-GB"/>
        </w:rPr>
        <w:t>Cross-border nominations (physical shipping) are performed by the Shipping Agents towards the TSOs</w:t>
      </w:r>
      <w:r w:rsidR="00EA3F01">
        <w:rPr>
          <w:lang w:val="en-GB"/>
        </w:rPr>
        <w:t xml:space="preserve"> until the relevant nomination deadline</w:t>
      </w:r>
      <w:r>
        <w:rPr>
          <w:lang w:val="en-GB"/>
        </w:rPr>
        <w:t>.</w:t>
      </w:r>
    </w:p>
    <w:p w14:paraId="7091FFF1" w14:textId="6B4E4EE0" w:rsidR="00327D9E" w:rsidRPr="00E452FA" w:rsidRDefault="00327D9E" w:rsidP="001A29DE">
      <w:pPr>
        <w:pStyle w:val="Listaszerbekezds"/>
        <w:keepNext/>
        <w:numPr>
          <w:ilvl w:val="0"/>
          <w:numId w:val="3"/>
        </w:numPr>
        <w:ind w:left="714" w:hanging="357"/>
        <w:jc w:val="both"/>
        <w:rPr>
          <w:rFonts w:asciiTheme="minorHAnsi" w:hAnsiTheme="minorHAnsi" w:cstheme="minorHAnsi"/>
          <w:lang w:val="en-GB"/>
        </w:rPr>
      </w:pPr>
      <w:r w:rsidRPr="00E452FA">
        <w:rPr>
          <w:rFonts w:asciiTheme="minorHAnsi" w:hAnsiTheme="minorHAnsi" w:cstheme="minorHAnsi"/>
        </w:rPr>
        <w:t>Financial energy shipping (cross-border clearing and settlement) is performed by NEMOs/CCPs or TSOs in the role of Shipping Agents of NEMOs.</w:t>
      </w:r>
    </w:p>
    <w:p w14:paraId="5C0041B8" w14:textId="704E03E0" w:rsidR="00327D9E" w:rsidRPr="00E452FA" w:rsidRDefault="00327D9E" w:rsidP="001A29DE">
      <w:pPr>
        <w:pStyle w:val="Listaszerbekezds"/>
        <w:keepNext/>
        <w:numPr>
          <w:ilvl w:val="0"/>
          <w:numId w:val="3"/>
        </w:numPr>
        <w:ind w:left="714" w:hanging="357"/>
        <w:jc w:val="both"/>
        <w:rPr>
          <w:rFonts w:asciiTheme="minorHAnsi" w:hAnsiTheme="minorHAnsi" w:cstheme="minorHAnsi"/>
          <w:lang w:val="en-GB"/>
        </w:rPr>
      </w:pPr>
      <w:r w:rsidRPr="00E452FA">
        <w:rPr>
          <w:rFonts w:asciiTheme="minorHAnsi" w:hAnsiTheme="minorHAnsi" w:cstheme="minorHAnsi"/>
        </w:rPr>
        <w:t xml:space="preserve">In case of congestion (different market clearing prices in neighbouring bidding areas) the cross-border exchanges and prices are used for congestion income calculation. </w:t>
      </w:r>
      <w:r w:rsidR="00BF5C1B" w:rsidRPr="00E452FA">
        <w:rPr>
          <w:rFonts w:asciiTheme="minorHAnsi" w:hAnsiTheme="minorHAnsi" w:cstheme="minorHAnsi"/>
        </w:rPr>
        <w:t xml:space="preserve">For the current 4MMC borders (CZ-SK, HU-SK, HU-RO) mTMF will continue to perform congestion income calculation and will publish the related data on behalf of the TSOs on Transparency Platform. </w:t>
      </w:r>
      <w:r w:rsidR="00EA3F01">
        <w:rPr>
          <w:rFonts w:asciiTheme="minorHAnsi" w:hAnsiTheme="minorHAnsi" w:cstheme="minorHAnsi"/>
        </w:rPr>
        <w:t>Congestion income on these borders is settled on a bilateral basis between the TSOs acting as Shippers</w:t>
      </w:r>
      <w:r w:rsidR="00BF5C1B" w:rsidRPr="00E452FA">
        <w:rPr>
          <w:rFonts w:asciiTheme="minorHAnsi" w:hAnsiTheme="minorHAnsi" w:cstheme="minorHAnsi"/>
        </w:rPr>
        <w:t>. On all other borders, JAO will carry out centralized Congestion Income Distribution function and Shippers/CCPs will transfer the collected congestion income to</w:t>
      </w:r>
      <w:r w:rsidRPr="00E452FA">
        <w:rPr>
          <w:rFonts w:asciiTheme="minorHAnsi" w:hAnsiTheme="minorHAnsi" w:cstheme="minorHAnsi"/>
        </w:rPr>
        <w:t xml:space="preserve"> JAO for </w:t>
      </w:r>
      <w:r w:rsidR="00BF5C1B" w:rsidRPr="00E452FA">
        <w:rPr>
          <w:rFonts w:asciiTheme="minorHAnsi" w:hAnsiTheme="minorHAnsi" w:cstheme="minorHAnsi"/>
        </w:rPr>
        <w:t xml:space="preserve">the purposes of </w:t>
      </w:r>
      <w:r w:rsidRPr="00E452FA">
        <w:rPr>
          <w:rFonts w:asciiTheme="minorHAnsi" w:hAnsiTheme="minorHAnsi" w:cstheme="minorHAnsi"/>
        </w:rPr>
        <w:t>distribution among TSOs.</w:t>
      </w:r>
      <w:r w:rsidR="00BF5C1B" w:rsidRPr="00E452FA">
        <w:rPr>
          <w:rFonts w:asciiTheme="minorHAnsi" w:hAnsiTheme="minorHAnsi" w:cstheme="minorHAnsi"/>
        </w:rPr>
        <w:t xml:space="preserve"> Congestion income related data will also be published on JAO’s website and on Transparency Platform. </w:t>
      </w:r>
    </w:p>
    <w:p w14:paraId="531B9CDA" w14:textId="531B9CDA" w:rsidR="36CD0169" w:rsidRPr="005E1B90" w:rsidRDefault="36CD0169" w:rsidP="36CD0169">
      <w:pPr>
        <w:jc w:val="both"/>
        <w:rPr>
          <w:lang w:val="en-GB"/>
        </w:rPr>
      </w:pPr>
      <w:r w:rsidRPr="005E1B90">
        <w:rPr>
          <w:rFonts w:ascii="Times New Roman" w:eastAsia="Times New Roman" w:hAnsi="Times New Roman" w:cs="Times New Roman"/>
          <w:color w:val="000000" w:themeColor="text1"/>
          <w:sz w:val="24"/>
          <w:szCs w:val="24"/>
          <w:lang w:val="en-GB"/>
        </w:rPr>
        <w:t xml:space="preserve"> </w:t>
      </w:r>
    </w:p>
    <w:p w14:paraId="12D43763" w14:textId="12D43763" w:rsidR="36CD0169" w:rsidRPr="005E1B90" w:rsidRDefault="36CD0169" w:rsidP="36CD0169">
      <w:pPr>
        <w:jc w:val="both"/>
        <w:rPr>
          <w:lang w:val="en-GB"/>
        </w:rPr>
      </w:pPr>
      <w:r w:rsidRPr="005E1B90">
        <w:rPr>
          <w:rFonts w:ascii="Times New Roman" w:eastAsia="Times New Roman" w:hAnsi="Times New Roman" w:cs="Times New Roman"/>
          <w:color w:val="000000" w:themeColor="text1"/>
          <w:sz w:val="24"/>
          <w:szCs w:val="24"/>
          <w:lang w:val="en-GB"/>
        </w:rPr>
        <w:t xml:space="preserve"> </w:t>
      </w:r>
    </w:p>
    <w:p w14:paraId="29F56AE3" w14:textId="4B27CD34" w:rsidR="36CD0169" w:rsidRPr="00D00FFA" w:rsidRDefault="36CD0169" w:rsidP="00D00FFA">
      <w:pPr>
        <w:jc w:val="both"/>
        <w:rPr>
          <w:i/>
          <w:iCs/>
          <w:lang w:val="en-GB"/>
        </w:rPr>
      </w:pPr>
    </w:p>
    <w:sectPr w:rsidR="36CD0169" w:rsidRPr="00D00FFA" w:rsidSect="001A39D1">
      <w:headerReference w:type="default"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A0FC8" w16cid:durableId="2210E57D"/>
  <w16cid:commentId w16cid:paraId="7D2B5240" w16cid:durableId="2210E5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3CE5F" w14:textId="77777777" w:rsidR="00830758" w:rsidRDefault="00830758" w:rsidP="00864DAE">
      <w:pPr>
        <w:spacing w:after="0" w:line="240" w:lineRule="auto"/>
      </w:pPr>
      <w:r>
        <w:separator/>
      </w:r>
    </w:p>
  </w:endnote>
  <w:endnote w:type="continuationSeparator" w:id="0">
    <w:p w14:paraId="6FA8CD36" w14:textId="77777777" w:rsidR="00830758" w:rsidRDefault="00830758" w:rsidP="00864DAE">
      <w:pPr>
        <w:spacing w:after="0" w:line="240" w:lineRule="auto"/>
      </w:pPr>
      <w:r>
        <w:continuationSeparator/>
      </w:r>
    </w:p>
  </w:endnote>
  <w:endnote w:type="continuationNotice" w:id="1">
    <w:p w14:paraId="4D67535C" w14:textId="77777777" w:rsidR="00830758" w:rsidRDefault="00830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838433"/>
      <w:docPartObj>
        <w:docPartGallery w:val="Page Numbers (Bottom of Page)"/>
        <w:docPartUnique/>
      </w:docPartObj>
    </w:sdtPr>
    <w:sdtEndPr/>
    <w:sdtContent>
      <w:p w14:paraId="44A91A89" w14:textId="7A360923" w:rsidR="007E0160" w:rsidRDefault="007E0160">
        <w:pPr>
          <w:pStyle w:val="llb"/>
          <w:jc w:val="center"/>
        </w:pPr>
        <w:r>
          <w:fldChar w:fldCharType="begin"/>
        </w:r>
        <w:r>
          <w:instrText>PAGE   \* MERGEFORMAT</w:instrText>
        </w:r>
        <w:r>
          <w:fldChar w:fldCharType="separate"/>
        </w:r>
        <w:r w:rsidR="006C18A4">
          <w:rPr>
            <w:noProof/>
          </w:rPr>
          <w:t>1</w:t>
        </w:r>
        <w:r>
          <w:fldChar w:fldCharType="end"/>
        </w:r>
      </w:p>
    </w:sdtContent>
  </w:sdt>
  <w:p w14:paraId="6C0B284F" w14:textId="77777777" w:rsidR="007E0160" w:rsidRDefault="007E016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0B754" w14:textId="77777777" w:rsidR="00830758" w:rsidRDefault="00830758" w:rsidP="00864DAE">
      <w:pPr>
        <w:spacing w:after="0" w:line="240" w:lineRule="auto"/>
      </w:pPr>
      <w:r>
        <w:separator/>
      </w:r>
    </w:p>
  </w:footnote>
  <w:footnote w:type="continuationSeparator" w:id="0">
    <w:p w14:paraId="07F2E89D" w14:textId="77777777" w:rsidR="00830758" w:rsidRDefault="00830758" w:rsidP="00864DAE">
      <w:pPr>
        <w:spacing w:after="0" w:line="240" w:lineRule="auto"/>
      </w:pPr>
      <w:r>
        <w:continuationSeparator/>
      </w:r>
    </w:p>
  </w:footnote>
  <w:footnote w:type="continuationNotice" w:id="1">
    <w:p w14:paraId="0491F9FF" w14:textId="77777777" w:rsidR="00830758" w:rsidRDefault="0083075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F33C9" w14:textId="77777777" w:rsidR="006A03CB" w:rsidRDefault="006A03CB">
    <w:pPr>
      <w:pStyle w:val="lfej"/>
    </w:pPr>
    <w:r w:rsidRPr="007C0B41">
      <w:rPr>
        <w:noProof/>
        <w:lang w:eastAsia="hu-HU"/>
      </w:rPr>
      <w:drawing>
        <wp:inline distT="0" distB="0" distL="0" distR="0" wp14:anchorId="437F1B6D" wp14:editId="7E4BEBED">
          <wp:extent cx="5760720" cy="7636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36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62F09"/>
    <w:multiLevelType w:val="hybridMultilevel"/>
    <w:tmpl w:val="19ECD59A"/>
    <w:lvl w:ilvl="0" w:tplc="09E880F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6C266E"/>
    <w:multiLevelType w:val="hybridMultilevel"/>
    <w:tmpl w:val="0C6E40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337561D"/>
    <w:multiLevelType w:val="hybridMultilevel"/>
    <w:tmpl w:val="2A381F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33934C3"/>
    <w:multiLevelType w:val="hybridMultilevel"/>
    <w:tmpl w:val="B6EE3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51C1CD2"/>
    <w:multiLevelType w:val="hybridMultilevel"/>
    <w:tmpl w:val="3090770E"/>
    <w:lvl w:ilvl="0" w:tplc="04CC892E">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2MjQzNDKwsDAzNjFX0lEKTi0uzszPAykwqQUA+9XIXCwAAAA="/>
  </w:docVars>
  <w:rsids>
    <w:rsidRoot w:val="00B3051B"/>
    <w:rsid w:val="00015435"/>
    <w:rsid w:val="0002254B"/>
    <w:rsid w:val="00042F05"/>
    <w:rsid w:val="00053132"/>
    <w:rsid w:val="00066B3B"/>
    <w:rsid w:val="00070701"/>
    <w:rsid w:val="00076989"/>
    <w:rsid w:val="00084DA7"/>
    <w:rsid w:val="00094826"/>
    <w:rsid w:val="000B7DCA"/>
    <w:rsid w:val="000E0D1C"/>
    <w:rsid w:val="000E493D"/>
    <w:rsid w:val="000F0766"/>
    <w:rsid w:val="000F605C"/>
    <w:rsid w:val="00100928"/>
    <w:rsid w:val="00114533"/>
    <w:rsid w:val="00120F67"/>
    <w:rsid w:val="001601DD"/>
    <w:rsid w:val="001A29DE"/>
    <w:rsid w:val="001A39D1"/>
    <w:rsid w:val="001E6FF8"/>
    <w:rsid w:val="001E772D"/>
    <w:rsid w:val="00207A96"/>
    <w:rsid w:val="002118E6"/>
    <w:rsid w:val="00240D5A"/>
    <w:rsid w:val="00262BAE"/>
    <w:rsid w:val="00280111"/>
    <w:rsid w:val="002855BF"/>
    <w:rsid w:val="002A756F"/>
    <w:rsid w:val="002B6318"/>
    <w:rsid w:val="002F735A"/>
    <w:rsid w:val="0030140A"/>
    <w:rsid w:val="0032637D"/>
    <w:rsid w:val="00327D9E"/>
    <w:rsid w:val="00327F6D"/>
    <w:rsid w:val="003300C7"/>
    <w:rsid w:val="00337022"/>
    <w:rsid w:val="0036735E"/>
    <w:rsid w:val="00372037"/>
    <w:rsid w:val="00387486"/>
    <w:rsid w:val="003B53B3"/>
    <w:rsid w:val="003C1986"/>
    <w:rsid w:val="003D0D96"/>
    <w:rsid w:val="003E44FC"/>
    <w:rsid w:val="00413243"/>
    <w:rsid w:val="00417A9D"/>
    <w:rsid w:val="00424990"/>
    <w:rsid w:val="00431E71"/>
    <w:rsid w:val="0045656F"/>
    <w:rsid w:val="00466DE1"/>
    <w:rsid w:val="004809D6"/>
    <w:rsid w:val="00484745"/>
    <w:rsid w:val="004D507E"/>
    <w:rsid w:val="00500AD4"/>
    <w:rsid w:val="005020BF"/>
    <w:rsid w:val="00545E76"/>
    <w:rsid w:val="0056041A"/>
    <w:rsid w:val="00566677"/>
    <w:rsid w:val="0058552D"/>
    <w:rsid w:val="005944B4"/>
    <w:rsid w:val="005A159D"/>
    <w:rsid w:val="005B3261"/>
    <w:rsid w:val="005E1B90"/>
    <w:rsid w:val="005E3E0A"/>
    <w:rsid w:val="006144E4"/>
    <w:rsid w:val="00633E05"/>
    <w:rsid w:val="00646F60"/>
    <w:rsid w:val="0065042C"/>
    <w:rsid w:val="00656956"/>
    <w:rsid w:val="00665E75"/>
    <w:rsid w:val="00694740"/>
    <w:rsid w:val="006959F1"/>
    <w:rsid w:val="006A03CB"/>
    <w:rsid w:val="006A7BCC"/>
    <w:rsid w:val="006B28B1"/>
    <w:rsid w:val="006B41DA"/>
    <w:rsid w:val="006C18A4"/>
    <w:rsid w:val="00712E26"/>
    <w:rsid w:val="00733B7A"/>
    <w:rsid w:val="00735F07"/>
    <w:rsid w:val="00760FA6"/>
    <w:rsid w:val="00765A56"/>
    <w:rsid w:val="00772B5E"/>
    <w:rsid w:val="00772D8C"/>
    <w:rsid w:val="00782106"/>
    <w:rsid w:val="007B189E"/>
    <w:rsid w:val="007B35AA"/>
    <w:rsid w:val="007C747C"/>
    <w:rsid w:val="007D7F4D"/>
    <w:rsid w:val="007E0160"/>
    <w:rsid w:val="007E4767"/>
    <w:rsid w:val="007F79AA"/>
    <w:rsid w:val="00816336"/>
    <w:rsid w:val="008166D4"/>
    <w:rsid w:val="00816D8E"/>
    <w:rsid w:val="00816F1F"/>
    <w:rsid w:val="00824B73"/>
    <w:rsid w:val="00830758"/>
    <w:rsid w:val="00846117"/>
    <w:rsid w:val="0084745D"/>
    <w:rsid w:val="008547B8"/>
    <w:rsid w:val="00864DAE"/>
    <w:rsid w:val="00883C88"/>
    <w:rsid w:val="00885069"/>
    <w:rsid w:val="008A3BEA"/>
    <w:rsid w:val="008B3C55"/>
    <w:rsid w:val="008B447C"/>
    <w:rsid w:val="008E3834"/>
    <w:rsid w:val="008E3C7E"/>
    <w:rsid w:val="008E6C45"/>
    <w:rsid w:val="008E7C5D"/>
    <w:rsid w:val="008F562A"/>
    <w:rsid w:val="00902633"/>
    <w:rsid w:val="0092167D"/>
    <w:rsid w:val="00941D8D"/>
    <w:rsid w:val="0094581C"/>
    <w:rsid w:val="00950C53"/>
    <w:rsid w:val="00992AE1"/>
    <w:rsid w:val="00994F9B"/>
    <w:rsid w:val="009A118E"/>
    <w:rsid w:val="009A29D4"/>
    <w:rsid w:val="009D110C"/>
    <w:rsid w:val="009F01C0"/>
    <w:rsid w:val="009F12EF"/>
    <w:rsid w:val="009F44B6"/>
    <w:rsid w:val="009F67CF"/>
    <w:rsid w:val="00A25CAD"/>
    <w:rsid w:val="00A30043"/>
    <w:rsid w:val="00A37E17"/>
    <w:rsid w:val="00A4023E"/>
    <w:rsid w:val="00A41910"/>
    <w:rsid w:val="00A45514"/>
    <w:rsid w:val="00A64DA5"/>
    <w:rsid w:val="00AA4D8A"/>
    <w:rsid w:val="00AB21E6"/>
    <w:rsid w:val="00AB5C9F"/>
    <w:rsid w:val="00AC2D5D"/>
    <w:rsid w:val="00B03EAC"/>
    <w:rsid w:val="00B2543D"/>
    <w:rsid w:val="00B3051B"/>
    <w:rsid w:val="00B57309"/>
    <w:rsid w:val="00B66E2C"/>
    <w:rsid w:val="00B73E74"/>
    <w:rsid w:val="00B929B5"/>
    <w:rsid w:val="00B9516F"/>
    <w:rsid w:val="00BA0EE6"/>
    <w:rsid w:val="00BB1099"/>
    <w:rsid w:val="00BB5445"/>
    <w:rsid w:val="00BC19E2"/>
    <w:rsid w:val="00BD24C7"/>
    <w:rsid w:val="00BD6983"/>
    <w:rsid w:val="00BE5520"/>
    <w:rsid w:val="00BF5C1B"/>
    <w:rsid w:val="00C0556F"/>
    <w:rsid w:val="00C0741E"/>
    <w:rsid w:val="00C1023B"/>
    <w:rsid w:val="00C125BF"/>
    <w:rsid w:val="00C27538"/>
    <w:rsid w:val="00C577B8"/>
    <w:rsid w:val="00C57C4A"/>
    <w:rsid w:val="00C6636C"/>
    <w:rsid w:val="00C75D07"/>
    <w:rsid w:val="00C931E0"/>
    <w:rsid w:val="00CA3842"/>
    <w:rsid w:val="00CB3FBD"/>
    <w:rsid w:val="00CC042E"/>
    <w:rsid w:val="00CC258A"/>
    <w:rsid w:val="00CC6FB8"/>
    <w:rsid w:val="00D00FFA"/>
    <w:rsid w:val="00D4005F"/>
    <w:rsid w:val="00D50F8B"/>
    <w:rsid w:val="00D54E15"/>
    <w:rsid w:val="00D63F7B"/>
    <w:rsid w:val="00D67A45"/>
    <w:rsid w:val="00D84255"/>
    <w:rsid w:val="00DA012F"/>
    <w:rsid w:val="00DA2482"/>
    <w:rsid w:val="00DA3CBE"/>
    <w:rsid w:val="00DB4392"/>
    <w:rsid w:val="00DE1CC5"/>
    <w:rsid w:val="00DF007C"/>
    <w:rsid w:val="00E048E2"/>
    <w:rsid w:val="00E14538"/>
    <w:rsid w:val="00E30D28"/>
    <w:rsid w:val="00E371D3"/>
    <w:rsid w:val="00E450BC"/>
    <w:rsid w:val="00E452FA"/>
    <w:rsid w:val="00E611AA"/>
    <w:rsid w:val="00E6459E"/>
    <w:rsid w:val="00E74FE7"/>
    <w:rsid w:val="00E77ECE"/>
    <w:rsid w:val="00E83679"/>
    <w:rsid w:val="00E84EB6"/>
    <w:rsid w:val="00EA3F01"/>
    <w:rsid w:val="00EC5976"/>
    <w:rsid w:val="00EC7A5E"/>
    <w:rsid w:val="00ED2037"/>
    <w:rsid w:val="00EE125C"/>
    <w:rsid w:val="00EE6D1E"/>
    <w:rsid w:val="00EE7DB6"/>
    <w:rsid w:val="00F03B4C"/>
    <w:rsid w:val="00F04A6B"/>
    <w:rsid w:val="00F14849"/>
    <w:rsid w:val="00F1619A"/>
    <w:rsid w:val="00F26FEA"/>
    <w:rsid w:val="00F33EC3"/>
    <w:rsid w:val="00F41D79"/>
    <w:rsid w:val="00F53056"/>
    <w:rsid w:val="00F62634"/>
    <w:rsid w:val="00F82483"/>
    <w:rsid w:val="00F90112"/>
    <w:rsid w:val="00F973FE"/>
    <w:rsid w:val="00FB12EA"/>
    <w:rsid w:val="00FB6C53"/>
    <w:rsid w:val="00FC114E"/>
    <w:rsid w:val="00FD7E67"/>
    <w:rsid w:val="00FE38F6"/>
    <w:rsid w:val="028DAB99"/>
    <w:rsid w:val="16350682"/>
    <w:rsid w:val="36A51615"/>
    <w:rsid w:val="36CD01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D7E5"/>
  <w15:docId w15:val="{2C4F27B5-E09F-4ECA-B2F2-C9CA4A8B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64DAE"/>
    <w:pPr>
      <w:tabs>
        <w:tab w:val="center" w:pos="4536"/>
        <w:tab w:val="right" w:pos="9072"/>
      </w:tabs>
      <w:spacing w:after="0" w:line="240" w:lineRule="auto"/>
    </w:pPr>
  </w:style>
  <w:style w:type="character" w:customStyle="1" w:styleId="lfejChar">
    <w:name w:val="Élőfej Char"/>
    <w:basedOn w:val="Bekezdsalapbettpusa"/>
    <w:link w:val="lfej"/>
    <w:uiPriority w:val="99"/>
    <w:rsid w:val="00864DAE"/>
  </w:style>
  <w:style w:type="paragraph" w:styleId="llb">
    <w:name w:val="footer"/>
    <w:basedOn w:val="Norml"/>
    <w:link w:val="llbChar"/>
    <w:uiPriority w:val="99"/>
    <w:unhideWhenUsed/>
    <w:rsid w:val="00864DAE"/>
    <w:pPr>
      <w:tabs>
        <w:tab w:val="center" w:pos="4536"/>
        <w:tab w:val="right" w:pos="9072"/>
      </w:tabs>
      <w:spacing w:after="0" w:line="240" w:lineRule="auto"/>
    </w:pPr>
  </w:style>
  <w:style w:type="character" w:customStyle="1" w:styleId="llbChar">
    <w:name w:val="Élőláb Char"/>
    <w:basedOn w:val="Bekezdsalapbettpusa"/>
    <w:link w:val="llb"/>
    <w:uiPriority w:val="99"/>
    <w:rsid w:val="00864DAE"/>
  </w:style>
  <w:style w:type="character" w:styleId="Jegyzethivatkozs">
    <w:name w:val="annotation reference"/>
    <w:basedOn w:val="Bekezdsalapbettpusa"/>
    <w:uiPriority w:val="99"/>
    <w:semiHidden/>
    <w:unhideWhenUsed/>
    <w:rsid w:val="009F12EF"/>
    <w:rPr>
      <w:sz w:val="16"/>
      <w:szCs w:val="16"/>
    </w:rPr>
  </w:style>
  <w:style w:type="paragraph" w:styleId="Jegyzetszveg">
    <w:name w:val="annotation text"/>
    <w:basedOn w:val="Norml"/>
    <w:link w:val="JegyzetszvegChar"/>
    <w:uiPriority w:val="99"/>
    <w:semiHidden/>
    <w:unhideWhenUsed/>
    <w:rsid w:val="009F12EF"/>
    <w:pPr>
      <w:spacing w:line="240" w:lineRule="auto"/>
    </w:pPr>
    <w:rPr>
      <w:sz w:val="20"/>
      <w:szCs w:val="20"/>
    </w:rPr>
  </w:style>
  <w:style w:type="character" w:customStyle="1" w:styleId="JegyzetszvegChar">
    <w:name w:val="Jegyzetszöveg Char"/>
    <w:basedOn w:val="Bekezdsalapbettpusa"/>
    <w:link w:val="Jegyzetszveg"/>
    <w:uiPriority w:val="99"/>
    <w:semiHidden/>
    <w:rsid w:val="009F12EF"/>
    <w:rPr>
      <w:sz w:val="20"/>
      <w:szCs w:val="20"/>
    </w:rPr>
  </w:style>
  <w:style w:type="paragraph" w:styleId="Megjegyzstrgya">
    <w:name w:val="annotation subject"/>
    <w:basedOn w:val="Jegyzetszveg"/>
    <w:next w:val="Jegyzetszveg"/>
    <w:link w:val="MegjegyzstrgyaChar"/>
    <w:uiPriority w:val="99"/>
    <w:semiHidden/>
    <w:unhideWhenUsed/>
    <w:rsid w:val="009F12EF"/>
    <w:rPr>
      <w:b/>
      <w:bCs/>
    </w:rPr>
  </w:style>
  <w:style w:type="character" w:customStyle="1" w:styleId="MegjegyzstrgyaChar">
    <w:name w:val="Megjegyzés tárgya Char"/>
    <w:basedOn w:val="JegyzetszvegChar"/>
    <w:link w:val="Megjegyzstrgya"/>
    <w:uiPriority w:val="99"/>
    <w:semiHidden/>
    <w:rsid w:val="009F12EF"/>
    <w:rPr>
      <w:b/>
      <w:bCs/>
      <w:sz w:val="20"/>
      <w:szCs w:val="20"/>
    </w:rPr>
  </w:style>
  <w:style w:type="paragraph" w:styleId="Buborkszveg">
    <w:name w:val="Balloon Text"/>
    <w:basedOn w:val="Norml"/>
    <w:link w:val="BuborkszvegChar"/>
    <w:uiPriority w:val="99"/>
    <w:semiHidden/>
    <w:unhideWhenUsed/>
    <w:rsid w:val="009F12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12EF"/>
    <w:rPr>
      <w:rFonts w:ascii="Segoe UI" w:hAnsi="Segoe UI" w:cs="Segoe UI"/>
      <w:sz w:val="18"/>
      <w:szCs w:val="18"/>
    </w:rPr>
  </w:style>
  <w:style w:type="paragraph" w:styleId="Vltozat">
    <w:name w:val="Revision"/>
    <w:hidden/>
    <w:uiPriority w:val="99"/>
    <w:semiHidden/>
    <w:rsid w:val="00BD6983"/>
    <w:pPr>
      <w:spacing w:after="0" w:line="240" w:lineRule="auto"/>
    </w:pPr>
  </w:style>
  <w:style w:type="paragraph" w:styleId="NormlWeb">
    <w:name w:val="Normal (Web)"/>
    <w:basedOn w:val="Norml"/>
    <w:uiPriority w:val="99"/>
    <w:semiHidden/>
    <w:unhideWhenUsed/>
    <w:rsid w:val="007F79A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Listaszerbekezds">
    <w:name w:val="List Paragraph"/>
    <w:basedOn w:val="Norml"/>
    <w:uiPriority w:val="34"/>
    <w:qFormat/>
    <w:rsid w:val="0030140A"/>
    <w:pPr>
      <w:spacing w:after="200" w:line="276" w:lineRule="auto"/>
      <w:ind w:left="720"/>
      <w:contextualSpacing/>
    </w:pPr>
    <w:rPr>
      <w:rFonts w:ascii="Calibr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5393">
      <w:bodyDiv w:val="1"/>
      <w:marLeft w:val="0"/>
      <w:marRight w:val="0"/>
      <w:marTop w:val="0"/>
      <w:marBottom w:val="0"/>
      <w:divBdr>
        <w:top w:val="none" w:sz="0" w:space="0" w:color="auto"/>
        <w:left w:val="none" w:sz="0" w:space="0" w:color="auto"/>
        <w:bottom w:val="none" w:sz="0" w:space="0" w:color="auto"/>
        <w:right w:val="none" w:sz="0" w:space="0" w:color="auto"/>
      </w:divBdr>
    </w:div>
    <w:div w:id="538862058">
      <w:bodyDiv w:val="1"/>
      <w:marLeft w:val="0"/>
      <w:marRight w:val="0"/>
      <w:marTop w:val="0"/>
      <w:marBottom w:val="0"/>
      <w:divBdr>
        <w:top w:val="none" w:sz="0" w:space="0" w:color="auto"/>
        <w:left w:val="none" w:sz="0" w:space="0" w:color="auto"/>
        <w:bottom w:val="none" w:sz="0" w:space="0" w:color="auto"/>
        <w:right w:val="none" w:sz="0" w:space="0" w:color="auto"/>
      </w:divBdr>
    </w:div>
    <w:div w:id="646596215">
      <w:bodyDiv w:val="1"/>
      <w:marLeft w:val="0"/>
      <w:marRight w:val="0"/>
      <w:marTop w:val="0"/>
      <w:marBottom w:val="0"/>
      <w:divBdr>
        <w:top w:val="none" w:sz="0" w:space="0" w:color="auto"/>
        <w:left w:val="none" w:sz="0" w:space="0" w:color="auto"/>
        <w:bottom w:val="none" w:sz="0" w:space="0" w:color="auto"/>
        <w:right w:val="none" w:sz="0" w:space="0" w:color="auto"/>
      </w:divBdr>
    </w:div>
    <w:div w:id="20168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3B6439C6F5F49A0C7DB428A0A69CE" ma:contentTypeVersion="" ma:contentTypeDescription="Create a new document." ma:contentTypeScope="" ma:versionID="f9f2518fd037bd95641d826d52a1bafe">
  <xsd:schema xmlns:xsd="http://www.w3.org/2001/XMLSchema" xmlns:xs="http://www.w3.org/2001/XMLSchema" xmlns:p="http://schemas.microsoft.com/office/2006/metadata/properties" targetNamespace="http://schemas.microsoft.com/office/2006/metadata/properties" ma:root="true" ma:fieldsID="5b175aa2481df563792036dccb917b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9C90-7C5D-482D-9984-EAE05CF4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295AE2-0951-4043-9846-A17C682000E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D00288DD-385E-4072-A524-C2B7CB1701B2}">
  <ds:schemaRefs>
    <ds:schemaRef ds:uri="http://schemas.microsoft.com/sharepoint/v3/contenttype/forms"/>
  </ds:schemaRefs>
</ds:datastoreItem>
</file>

<file path=customXml/itemProps4.xml><?xml version="1.0" encoding="utf-8"?>
<ds:datastoreItem xmlns:ds="http://schemas.openxmlformats.org/officeDocument/2006/customXml" ds:itemID="{C4A0C72B-684D-43A8-A049-80245A95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6990</Characters>
  <Application>Microsoft Office Word</Application>
  <DocSecurity>0</DocSecurity>
  <Lines>58</Lines>
  <Paragraphs>15</Paragraphs>
  <ScaleCrop>false</ScaleCrop>
  <HeadingPairs>
    <vt:vector size="8" baseType="variant">
      <vt:variant>
        <vt:lpstr>Cím</vt:lpstr>
      </vt:variant>
      <vt:variant>
        <vt:i4>1</vt:i4>
      </vt:variant>
      <vt:variant>
        <vt:lpstr>Title</vt:lpstr>
      </vt:variant>
      <vt:variant>
        <vt:i4>1</vt:i4>
      </vt:variant>
      <vt:variant>
        <vt:lpstr>Titel</vt:lpstr>
      </vt:variant>
      <vt:variant>
        <vt:i4>1</vt:i4>
      </vt:variant>
      <vt:variant>
        <vt:lpstr>Názov</vt:lpstr>
      </vt:variant>
      <vt:variant>
        <vt:i4>1</vt:i4>
      </vt:variant>
    </vt:vector>
  </HeadingPairs>
  <TitlesOfParts>
    <vt:vector size="4" baseType="lpstr">
      <vt:lpstr/>
      <vt:lpstr/>
      <vt:lpstr/>
      <vt:lpstr/>
    </vt:vector>
  </TitlesOfParts>
  <Company>MAVIR ZRt.</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Szirják Bianka</dc:creator>
  <cp:keywords/>
  <dc:description/>
  <cp:lastModifiedBy>Szirják Bianka</cp:lastModifiedBy>
  <cp:revision>2</cp:revision>
  <dcterms:created xsi:type="dcterms:W3CDTF">2020-03-16T10:00:00Z</dcterms:created>
  <dcterms:modified xsi:type="dcterms:W3CDTF">2020-03-16T10:00:00Z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0x0101007253B6439C6F5F49A0C7DB428A0A69CE</vt:lpwstr>
  </property>
</Properties>
</file>